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13" w:rsidRDefault="00D109F5" w:rsidP="00413513">
      <w:pPr>
        <w:pStyle w:val="Heading1"/>
        <w:ind w:left="1281" w:right="1281"/>
        <w:jc w:val="center"/>
      </w:pPr>
      <w:r>
        <w:pict>
          <v:line id="_x0000_s1027" style="position:absolute;left:0;text-align:left;z-index:-251655168;mso-wrap-distance-left:0;mso-wrap-distance-right:0;mso-position-horizontal-relative:page" from="45.5pt,22.75pt" to="549.5pt,22.75pt" strokeweight=".48pt">
            <w10:wrap type="topAndBottom" anchorx="page"/>
          </v:line>
        </w:pict>
      </w:r>
      <w:r w:rsidR="00413513">
        <w:rPr>
          <w:color w:val="ED1C23"/>
        </w:rPr>
        <w:t>NOTICE</w:t>
      </w:r>
    </w:p>
    <w:p w:rsidR="00413513" w:rsidRDefault="00413513" w:rsidP="00413513">
      <w:pPr>
        <w:pStyle w:val="BodyText"/>
        <w:spacing w:before="2"/>
        <w:rPr>
          <w:sz w:val="9"/>
        </w:rPr>
      </w:pPr>
    </w:p>
    <w:p w:rsidR="00413513" w:rsidRDefault="00413513" w:rsidP="00413513">
      <w:pPr>
        <w:rPr>
          <w:sz w:val="9"/>
        </w:rPr>
        <w:sectPr w:rsidR="00413513" w:rsidSect="00A00C1B">
          <w:footerReference w:type="default" r:id="rId7"/>
          <w:pgSz w:w="11900" w:h="16840"/>
          <w:pgMar w:top="1600" w:right="780" w:bottom="1240" w:left="760" w:header="0" w:footer="105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1"/>
          <w:cols w:space="720"/>
        </w:sectPr>
      </w:pPr>
    </w:p>
    <w:p w:rsidR="00413513" w:rsidRDefault="00413513" w:rsidP="00413513">
      <w:pPr>
        <w:pStyle w:val="BodyText"/>
        <w:spacing w:before="95" w:line="302" w:lineRule="auto"/>
        <w:ind w:left="150" w:right="48"/>
        <w:jc w:val="both"/>
      </w:pPr>
      <w:r>
        <w:rPr>
          <w:color w:val="211F1F"/>
        </w:rPr>
        <w:lastRenderedPageBreak/>
        <w:t>Notice is hereby given that the 13</w:t>
      </w:r>
      <w:r>
        <w:rPr>
          <w:color w:val="211F1F"/>
          <w:position w:val="6"/>
          <w:sz w:val="10"/>
        </w:rPr>
        <w:t xml:space="preserve">th </w:t>
      </w:r>
      <w:r>
        <w:rPr>
          <w:color w:val="211F1F"/>
        </w:rPr>
        <w:t>Annual General Meeting of the members of Jhandewalas Foods Limited will be held on Monday,30</w:t>
      </w:r>
      <w:r>
        <w:rPr>
          <w:color w:val="211F1F"/>
          <w:position w:val="6"/>
          <w:sz w:val="10"/>
        </w:rPr>
        <w:t xml:space="preserve">th </w:t>
      </w:r>
      <w:r>
        <w:rPr>
          <w:color w:val="211F1F"/>
        </w:rPr>
        <w:t>September2019at</w:t>
      </w:r>
      <w:r w:rsidRPr="004F2A02">
        <w:rPr>
          <w:color w:val="211F1F"/>
        </w:rPr>
        <w:t>11.00</w:t>
      </w:r>
      <w:r w:rsidRPr="004F2A02">
        <w:rPr>
          <w:color w:val="211F1F"/>
          <w:spacing w:val="-6"/>
        </w:rPr>
        <w:t>A.M</w:t>
      </w:r>
      <w:r>
        <w:rPr>
          <w:color w:val="211F1F"/>
          <w:spacing w:val="-6"/>
        </w:rPr>
        <w:t>.</w:t>
      </w:r>
      <w:r>
        <w:rPr>
          <w:color w:val="211F1F"/>
        </w:rPr>
        <w:t>at B-70,1</w:t>
      </w:r>
      <w:r>
        <w:rPr>
          <w:color w:val="211F1F"/>
          <w:position w:val="6"/>
          <w:sz w:val="10"/>
        </w:rPr>
        <w:t>st</w:t>
      </w:r>
      <w:r>
        <w:rPr>
          <w:color w:val="211F1F"/>
        </w:rPr>
        <w:t>Floor, Upasana House, Janta Store, Bapu Nagar Jaipur RJ 302015 to</w:t>
      </w:r>
      <w:r w:rsidR="00541D8D">
        <w:rPr>
          <w:color w:val="211F1F"/>
        </w:rPr>
        <w:t xml:space="preserve"> </w:t>
      </w:r>
      <w:r>
        <w:rPr>
          <w:color w:val="211F1F"/>
        </w:rPr>
        <w:t>transact</w:t>
      </w:r>
      <w:r w:rsidR="00541D8D">
        <w:rPr>
          <w:color w:val="211F1F"/>
        </w:rPr>
        <w:t xml:space="preserve"> </w:t>
      </w:r>
      <w:r>
        <w:rPr>
          <w:color w:val="211F1F"/>
        </w:rPr>
        <w:t>the</w:t>
      </w:r>
      <w:r w:rsidR="00541D8D">
        <w:rPr>
          <w:color w:val="211F1F"/>
        </w:rPr>
        <w:t xml:space="preserve"> </w:t>
      </w:r>
      <w:r>
        <w:rPr>
          <w:color w:val="211F1F"/>
        </w:rPr>
        <w:t>following</w:t>
      </w:r>
      <w:r w:rsidR="00541D8D">
        <w:rPr>
          <w:color w:val="211F1F"/>
        </w:rPr>
        <w:t xml:space="preserve"> </w:t>
      </w:r>
      <w:r>
        <w:rPr>
          <w:color w:val="211F1F"/>
        </w:rPr>
        <w:t>businesses:</w:t>
      </w:r>
    </w:p>
    <w:p w:rsidR="00413513" w:rsidRDefault="00413513" w:rsidP="00413513">
      <w:pPr>
        <w:pStyle w:val="Heading3"/>
        <w:spacing w:before="140"/>
      </w:pPr>
      <w:r>
        <w:rPr>
          <w:color w:val="ED1C23"/>
        </w:rPr>
        <w:t>Ordinary Business</w:t>
      </w:r>
    </w:p>
    <w:p w:rsidR="00413513" w:rsidRDefault="00413513" w:rsidP="00413513">
      <w:pPr>
        <w:pStyle w:val="BodyText"/>
        <w:spacing w:before="1"/>
        <w:rPr>
          <w:b/>
          <w:sz w:val="17"/>
        </w:rPr>
      </w:pPr>
    </w:p>
    <w:p w:rsidR="00413513" w:rsidRDefault="00413513" w:rsidP="00413513">
      <w:pPr>
        <w:pStyle w:val="ListParagraph"/>
        <w:numPr>
          <w:ilvl w:val="0"/>
          <w:numId w:val="2"/>
        </w:numPr>
        <w:tabs>
          <w:tab w:val="left" w:pos="509"/>
          <w:tab w:val="left" w:pos="510"/>
        </w:tabs>
        <w:spacing w:before="0"/>
        <w:rPr>
          <w:color w:val="211F1F"/>
          <w:sz w:val="18"/>
        </w:rPr>
      </w:pPr>
      <w:r>
        <w:rPr>
          <w:color w:val="211F1F"/>
          <w:spacing w:val="-10"/>
          <w:sz w:val="18"/>
        </w:rPr>
        <w:t xml:space="preserve">To </w:t>
      </w:r>
      <w:r>
        <w:rPr>
          <w:color w:val="211F1F"/>
          <w:sz w:val="18"/>
        </w:rPr>
        <w:t>consider and</w:t>
      </w:r>
      <w:r w:rsidR="00541D8D">
        <w:rPr>
          <w:color w:val="211F1F"/>
          <w:sz w:val="18"/>
        </w:rPr>
        <w:t xml:space="preserve"> </w:t>
      </w:r>
      <w:r>
        <w:rPr>
          <w:color w:val="211F1F"/>
          <w:sz w:val="18"/>
        </w:rPr>
        <w:t>adopt:</w:t>
      </w:r>
    </w:p>
    <w:p w:rsidR="00413513" w:rsidRPr="003160B6" w:rsidRDefault="00413513" w:rsidP="00413513">
      <w:pPr>
        <w:pStyle w:val="Heading3"/>
        <w:numPr>
          <w:ilvl w:val="1"/>
          <w:numId w:val="2"/>
        </w:numPr>
        <w:tabs>
          <w:tab w:val="left" w:pos="870"/>
        </w:tabs>
        <w:spacing w:before="124" w:line="302" w:lineRule="auto"/>
        <w:ind w:right="52"/>
        <w:jc w:val="both"/>
      </w:pPr>
      <w:r>
        <w:rPr>
          <w:color w:val="211F1F"/>
        </w:rPr>
        <w:t>the audited financial statements of the</w:t>
      </w:r>
      <w:r w:rsidR="00541D8D">
        <w:rPr>
          <w:color w:val="211F1F"/>
        </w:rPr>
        <w:t xml:space="preserve"> </w:t>
      </w:r>
      <w:r>
        <w:rPr>
          <w:color w:val="211F1F"/>
        </w:rPr>
        <w:t>Company for the financial year ended March 31, 2019 and the</w:t>
      </w:r>
      <w:r w:rsidR="00541D8D">
        <w:rPr>
          <w:color w:val="211F1F"/>
        </w:rPr>
        <w:t xml:space="preserve"> </w:t>
      </w:r>
      <w:r>
        <w:rPr>
          <w:color w:val="211F1F"/>
        </w:rPr>
        <w:t>reports</w:t>
      </w:r>
      <w:r w:rsidR="00541D8D">
        <w:rPr>
          <w:color w:val="211F1F"/>
        </w:rPr>
        <w:t xml:space="preserve"> </w:t>
      </w:r>
      <w:r>
        <w:rPr>
          <w:color w:val="211F1F"/>
        </w:rPr>
        <w:t>of</w:t>
      </w:r>
      <w:r w:rsidR="00541D8D">
        <w:rPr>
          <w:color w:val="211F1F"/>
        </w:rPr>
        <w:t xml:space="preserve"> </w:t>
      </w:r>
      <w:r>
        <w:rPr>
          <w:color w:val="211F1F"/>
        </w:rPr>
        <w:t>the</w:t>
      </w:r>
      <w:r w:rsidR="00541D8D">
        <w:rPr>
          <w:color w:val="211F1F"/>
        </w:rPr>
        <w:t xml:space="preserve"> </w:t>
      </w:r>
      <w:r>
        <w:rPr>
          <w:color w:val="211F1F"/>
        </w:rPr>
        <w:t>Directors</w:t>
      </w:r>
      <w:r w:rsidR="00541D8D">
        <w:rPr>
          <w:color w:val="211F1F"/>
        </w:rPr>
        <w:t xml:space="preserve"> </w:t>
      </w:r>
      <w:r>
        <w:rPr>
          <w:color w:val="211F1F"/>
        </w:rPr>
        <w:t>and</w:t>
      </w:r>
      <w:r w:rsidR="00541D8D">
        <w:rPr>
          <w:color w:val="211F1F"/>
        </w:rPr>
        <w:t xml:space="preserve"> </w:t>
      </w:r>
      <w:r>
        <w:rPr>
          <w:color w:val="211F1F"/>
        </w:rPr>
        <w:t>Auditors</w:t>
      </w:r>
      <w:r w:rsidR="00541D8D">
        <w:rPr>
          <w:color w:val="211F1F"/>
        </w:rPr>
        <w:t xml:space="preserve"> </w:t>
      </w:r>
      <w:r>
        <w:rPr>
          <w:color w:val="211F1F"/>
        </w:rPr>
        <w:t xml:space="preserve">thereon: </w:t>
      </w:r>
      <w:r>
        <w:rPr>
          <w:color w:val="211F1F"/>
          <w:spacing w:val="-2"/>
        </w:rPr>
        <w:t>and</w:t>
      </w:r>
    </w:p>
    <w:p w:rsidR="00413513" w:rsidRDefault="00413513" w:rsidP="00413513">
      <w:pPr>
        <w:pStyle w:val="Heading3"/>
        <w:tabs>
          <w:tab w:val="left" w:pos="870"/>
        </w:tabs>
        <w:spacing w:before="124" w:line="302" w:lineRule="auto"/>
        <w:ind w:right="52"/>
        <w:jc w:val="both"/>
        <w:rPr>
          <w:color w:val="211F1F"/>
          <w:spacing w:val="-2"/>
        </w:rPr>
      </w:pPr>
      <w:r w:rsidRPr="002013D4">
        <w:rPr>
          <w:bCs w:val="0"/>
          <w:color w:val="211F1F"/>
          <w:spacing w:val="-2"/>
        </w:rPr>
        <w:t>2</w:t>
      </w:r>
      <w:r w:rsidRPr="003160B6">
        <w:rPr>
          <w:b w:val="0"/>
          <w:bCs w:val="0"/>
          <w:color w:val="211F1F"/>
          <w:spacing w:val="-2"/>
        </w:rPr>
        <w:t>.</w:t>
      </w:r>
      <w:r>
        <w:rPr>
          <w:color w:val="211F1F"/>
          <w:spacing w:val="-2"/>
        </w:rPr>
        <w:t xml:space="preserve"> To appoint Mrs. JINKO DEVI KOOLWAL   (DIN:02531975), who retires by rotation as a Director and being eligible, offer herself for re-appointment and in this regard, pass the following resolution as an Ordinary Resolution:</w:t>
      </w:r>
    </w:p>
    <w:p w:rsidR="00413513" w:rsidRPr="001D7F67" w:rsidRDefault="00413513" w:rsidP="00413513">
      <w:pPr>
        <w:pStyle w:val="Heading3"/>
        <w:tabs>
          <w:tab w:val="left" w:pos="870"/>
        </w:tabs>
        <w:spacing w:before="124" w:line="302" w:lineRule="auto"/>
        <w:ind w:left="540" w:right="52"/>
        <w:jc w:val="both"/>
        <w:rPr>
          <w:b w:val="0"/>
          <w:color w:val="211F1F"/>
          <w:spacing w:val="-2"/>
        </w:rPr>
      </w:pPr>
      <w:r w:rsidRPr="003F65A3">
        <w:rPr>
          <w:b w:val="0"/>
          <w:color w:val="211F1F"/>
          <w:spacing w:val="-2"/>
        </w:rPr>
        <w:t>“RESOLVED THAT p</w:t>
      </w:r>
      <w:r>
        <w:rPr>
          <w:b w:val="0"/>
          <w:color w:val="211F1F"/>
          <w:spacing w:val="-2"/>
        </w:rPr>
        <w:t>ursuant to the provisions of Section                          152 of the Companies Act, 2013, Mrs. JINKO DEVI          KOOLWAL (DIN: 02531975), who retires by rotation at this meeting be and is hereby appointed as a Director of the    Company, liable to retire by rotation.”</w:t>
      </w:r>
    </w:p>
    <w:p w:rsidR="00413513" w:rsidRDefault="00413513" w:rsidP="00413513">
      <w:pPr>
        <w:pStyle w:val="Heading3"/>
        <w:numPr>
          <w:ilvl w:val="0"/>
          <w:numId w:val="5"/>
        </w:numPr>
        <w:tabs>
          <w:tab w:val="left" w:pos="510"/>
        </w:tabs>
        <w:spacing w:before="150" w:line="300" w:lineRule="auto"/>
        <w:ind w:right="47"/>
        <w:jc w:val="both"/>
        <w:rPr>
          <w:color w:val="211F1F"/>
        </w:rPr>
      </w:pPr>
      <w:r>
        <w:rPr>
          <w:color w:val="211F1F"/>
          <w:spacing w:val="-3"/>
        </w:rPr>
        <w:t xml:space="preserve">To </w:t>
      </w:r>
      <w:r w:rsidR="00A459C0">
        <w:rPr>
          <w:color w:val="211F1F"/>
          <w:spacing w:val="6"/>
        </w:rPr>
        <w:t xml:space="preserve">appoint </w:t>
      </w:r>
      <w:r>
        <w:rPr>
          <w:color w:val="211F1F"/>
          <w:spacing w:val="5"/>
        </w:rPr>
        <w:t xml:space="preserve">statutory </w:t>
      </w:r>
      <w:r>
        <w:rPr>
          <w:color w:val="211F1F"/>
          <w:spacing w:val="6"/>
        </w:rPr>
        <w:t xml:space="preserve">auditor </w:t>
      </w:r>
      <w:r>
        <w:rPr>
          <w:color w:val="211F1F"/>
          <w:spacing w:val="3"/>
        </w:rPr>
        <w:t xml:space="preserve">of </w:t>
      </w:r>
      <w:r>
        <w:rPr>
          <w:color w:val="211F1F"/>
          <w:spacing w:val="7"/>
        </w:rPr>
        <w:t xml:space="preserve">the </w:t>
      </w:r>
      <w:r>
        <w:rPr>
          <w:color w:val="211F1F"/>
        </w:rPr>
        <w:t>Company, and to fix their remuneration and to pass the following resolution as an ordinary</w:t>
      </w:r>
      <w:r w:rsidR="00A459C0">
        <w:rPr>
          <w:color w:val="211F1F"/>
        </w:rPr>
        <w:t xml:space="preserve"> </w:t>
      </w:r>
      <w:r>
        <w:rPr>
          <w:color w:val="211F1F"/>
        </w:rPr>
        <w:t>resolution:</w:t>
      </w:r>
    </w:p>
    <w:p w:rsidR="00413513" w:rsidRPr="004037AD" w:rsidRDefault="00413513" w:rsidP="00413513">
      <w:pPr>
        <w:pStyle w:val="BodyText"/>
        <w:spacing w:before="133" w:line="302" w:lineRule="auto"/>
        <w:ind w:left="509" w:right="43"/>
        <w:jc w:val="both"/>
      </w:pPr>
      <w:r>
        <w:rPr>
          <w:color w:val="211F1F"/>
        </w:rPr>
        <w:t xml:space="preserve">RESOLVED </w:t>
      </w:r>
      <w:r>
        <w:rPr>
          <w:color w:val="211F1F"/>
          <w:spacing w:val="-3"/>
        </w:rPr>
        <w:t xml:space="preserve">THAT </w:t>
      </w:r>
      <w:r>
        <w:rPr>
          <w:color w:val="211F1F"/>
        </w:rPr>
        <w:t xml:space="preserve">pursuant to the provisions of Section </w:t>
      </w:r>
      <w:r>
        <w:rPr>
          <w:color w:val="211F1F"/>
          <w:spacing w:val="9"/>
        </w:rPr>
        <w:t xml:space="preserve">139, </w:t>
      </w:r>
      <w:r>
        <w:rPr>
          <w:color w:val="211F1F"/>
          <w:spacing w:val="8"/>
        </w:rPr>
        <w:t xml:space="preserve">142 and </w:t>
      </w:r>
      <w:r>
        <w:rPr>
          <w:color w:val="211F1F"/>
          <w:spacing w:val="9"/>
        </w:rPr>
        <w:t xml:space="preserve">other </w:t>
      </w:r>
      <w:r>
        <w:rPr>
          <w:color w:val="211F1F"/>
          <w:spacing w:val="10"/>
        </w:rPr>
        <w:t xml:space="preserve">applicable provisions </w:t>
      </w:r>
      <w:r>
        <w:rPr>
          <w:color w:val="211F1F"/>
          <w:spacing w:val="6"/>
        </w:rPr>
        <w:t xml:space="preserve">of </w:t>
      </w:r>
      <w:r>
        <w:rPr>
          <w:color w:val="211F1F"/>
          <w:spacing w:val="12"/>
        </w:rPr>
        <w:t xml:space="preserve">the </w:t>
      </w:r>
      <w:r>
        <w:rPr>
          <w:color w:val="211F1F"/>
          <w:spacing w:val="9"/>
        </w:rPr>
        <w:t xml:space="preserve">Companies Act, </w:t>
      </w:r>
      <w:r>
        <w:rPr>
          <w:color w:val="211F1F"/>
          <w:spacing w:val="8"/>
        </w:rPr>
        <w:t xml:space="preserve">2013 (the </w:t>
      </w:r>
      <w:r>
        <w:rPr>
          <w:color w:val="211F1F"/>
          <w:spacing w:val="9"/>
        </w:rPr>
        <w:t xml:space="preserve">“Act”) </w:t>
      </w:r>
      <w:r>
        <w:rPr>
          <w:color w:val="211F1F"/>
          <w:spacing w:val="7"/>
        </w:rPr>
        <w:t xml:space="preserve">and </w:t>
      </w:r>
      <w:r>
        <w:rPr>
          <w:color w:val="211F1F"/>
          <w:spacing w:val="5"/>
        </w:rPr>
        <w:t xml:space="preserve">as </w:t>
      </w:r>
      <w:r>
        <w:rPr>
          <w:color w:val="211F1F"/>
          <w:spacing w:val="7"/>
        </w:rPr>
        <w:t xml:space="preserve">per </w:t>
      </w:r>
      <w:r>
        <w:rPr>
          <w:color w:val="211F1F"/>
          <w:spacing w:val="12"/>
        </w:rPr>
        <w:t xml:space="preserve">the </w:t>
      </w:r>
      <w:r>
        <w:rPr>
          <w:color w:val="211F1F"/>
          <w:spacing w:val="8"/>
        </w:rPr>
        <w:t xml:space="preserve">recommendation </w:t>
      </w:r>
      <w:r>
        <w:rPr>
          <w:color w:val="211F1F"/>
          <w:spacing w:val="4"/>
        </w:rPr>
        <w:t xml:space="preserve">of </w:t>
      </w:r>
      <w:r>
        <w:rPr>
          <w:color w:val="211F1F"/>
          <w:spacing w:val="7"/>
        </w:rPr>
        <w:t xml:space="preserve">audit </w:t>
      </w:r>
      <w:r>
        <w:rPr>
          <w:color w:val="211F1F"/>
          <w:spacing w:val="8"/>
        </w:rPr>
        <w:t xml:space="preserve">committee </w:t>
      </w:r>
      <w:r>
        <w:rPr>
          <w:color w:val="211F1F"/>
          <w:spacing w:val="6"/>
        </w:rPr>
        <w:t xml:space="preserve">and </w:t>
      </w:r>
      <w:r>
        <w:rPr>
          <w:color w:val="211F1F"/>
          <w:spacing w:val="7"/>
        </w:rPr>
        <w:t xml:space="preserve">board </w:t>
      </w:r>
      <w:r>
        <w:rPr>
          <w:color w:val="211F1F"/>
          <w:spacing w:val="9"/>
        </w:rPr>
        <w:t xml:space="preserve">of </w:t>
      </w:r>
      <w:r>
        <w:rPr>
          <w:color w:val="211F1F"/>
          <w:spacing w:val="3"/>
        </w:rPr>
        <w:t xml:space="preserve">directors </w:t>
      </w:r>
      <w:r>
        <w:rPr>
          <w:color w:val="211F1F"/>
          <w:spacing w:val="2"/>
        </w:rPr>
        <w:t xml:space="preserve">for the </w:t>
      </w:r>
      <w:r>
        <w:rPr>
          <w:color w:val="211F1F"/>
          <w:spacing w:val="3"/>
        </w:rPr>
        <w:t xml:space="preserve">appointment </w:t>
      </w:r>
      <w:r>
        <w:rPr>
          <w:color w:val="211F1F"/>
        </w:rPr>
        <w:t xml:space="preserve">of </w:t>
      </w:r>
      <w:r>
        <w:rPr>
          <w:color w:val="211F1F"/>
          <w:spacing w:val="3"/>
        </w:rPr>
        <w:t>M/s</w:t>
      </w:r>
      <w:r w:rsidRPr="00EA1957">
        <w:rPr>
          <w:rFonts w:eastAsiaTheme="minorHAnsi"/>
        </w:rPr>
        <w:t xml:space="preserve"> M S G &amp; Associates, Chartered Accountants, (FRN.: </w:t>
      </w:r>
      <w:r w:rsidRPr="00EA1957">
        <w:rPr>
          <w:rFonts w:eastAsiaTheme="minorHAnsi"/>
          <w:bCs/>
        </w:rPr>
        <w:t>010254C</w:t>
      </w:r>
      <w:r w:rsidRPr="00EA1957">
        <w:rPr>
          <w:rFonts w:eastAsiaTheme="minorHAnsi"/>
        </w:rPr>
        <w:t>)</w:t>
      </w:r>
      <w:r>
        <w:rPr>
          <w:rFonts w:eastAsiaTheme="minorHAnsi"/>
        </w:rPr>
        <w:t xml:space="preserve"> who have been appointed as a Auditor in the Extra Ordinary General Meeting held on 29</w:t>
      </w:r>
      <w:r w:rsidRPr="004037AD">
        <w:rPr>
          <w:rFonts w:eastAsiaTheme="minorHAnsi"/>
          <w:vertAlign w:val="superscript"/>
        </w:rPr>
        <w:t>th</w:t>
      </w:r>
      <w:r>
        <w:rPr>
          <w:rFonts w:eastAsiaTheme="minorHAnsi"/>
        </w:rPr>
        <w:t xml:space="preserve"> June, 2019 to fill the casual vacancy created by resignation of </w:t>
      </w:r>
      <w:r w:rsidRPr="004037AD">
        <w:rPr>
          <w:rFonts w:eastAsiaTheme="minorHAnsi"/>
        </w:rPr>
        <w:t>M/s. J K Sarawgi &amp; Comapany, Chartered Accountants</w:t>
      </w:r>
      <w:r>
        <w:rPr>
          <w:rFonts w:eastAsiaTheme="minorHAnsi"/>
        </w:rPr>
        <w:t>,</w:t>
      </w:r>
      <w:r w:rsidRPr="004037AD">
        <w:rPr>
          <w:rFonts w:eastAsiaTheme="minorHAnsi"/>
        </w:rPr>
        <w:t xml:space="preserve"> be a</w:t>
      </w:r>
      <w:r>
        <w:rPr>
          <w:color w:val="211F1F"/>
          <w:spacing w:val="2"/>
        </w:rPr>
        <w:t xml:space="preserve">nd are </w:t>
      </w:r>
      <w:r>
        <w:rPr>
          <w:color w:val="211F1F"/>
          <w:spacing w:val="3"/>
        </w:rPr>
        <w:t xml:space="preserve">hereby </w:t>
      </w:r>
      <w:r w:rsidRPr="004037AD">
        <w:rPr>
          <w:color w:val="211F1F"/>
        </w:rPr>
        <w:t xml:space="preserve">approved </w:t>
      </w:r>
      <w:r>
        <w:rPr>
          <w:color w:val="211F1F"/>
        </w:rPr>
        <w:t xml:space="preserve">as </w:t>
      </w:r>
      <w:r w:rsidRPr="004037AD">
        <w:rPr>
          <w:color w:val="211F1F"/>
        </w:rPr>
        <w:t xml:space="preserve">Statutory </w:t>
      </w:r>
      <w:r>
        <w:rPr>
          <w:color w:val="211F1F"/>
        </w:rPr>
        <w:t xml:space="preserve">Auditors of the Company for </w:t>
      </w:r>
      <w:r w:rsidRPr="004037AD">
        <w:rPr>
          <w:color w:val="211F1F"/>
        </w:rPr>
        <w:t xml:space="preserve">the financial year </w:t>
      </w:r>
      <w:r w:rsidRPr="004037AD">
        <w:t>2019-2020 to 2023-2024 from the conclusion of this Annual General Meeting.</w:t>
      </w:r>
    </w:p>
    <w:p w:rsidR="00413513" w:rsidRDefault="00413513" w:rsidP="00413513">
      <w:pPr>
        <w:pStyle w:val="BodyText"/>
        <w:spacing w:before="133" w:line="302" w:lineRule="auto"/>
        <w:ind w:left="509" w:right="43"/>
        <w:jc w:val="both"/>
      </w:pPr>
      <w:r>
        <w:rPr>
          <w:color w:val="211F1F"/>
        </w:rPr>
        <w:t>RESOLVED FURTHER THAT the Board of Directors be and are hereby authorized to fix such remuneration as may be determined by the Board of Directors in consultation with the Auditors plus applicable tax and reimbursement of out-of-pocket expenses in connection with the audit and the remuneration may be paid on a</w:t>
      </w:r>
    </w:p>
    <w:p w:rsidR="00413513" w:rsidRDefault="00413513" w:rsidP="00413513">
      <w:pPr>
        <w:pStyle w:val="BodyText"/>
        <w:spacing w:before="95" w:line="300" w:lineRule="auto"/>
        <w:ind w:left="510" w:right="127"/>
        <w:jc w:val="both"/>
      </w:pPr>
      <w:r>
        <w:br w:type="column"/>
      </w:r>
      <w:r>
        <w:rPr>
          <w:color w:val="211F1F"/>
        </w:rPr>
        <w:lastRenderedPageBreak/>
        <w:t>progressive billing basis to be agreed between the Auditors and the Board of Directors of the Company.</w:t>
      </w:r>
    </w:p>
    <w:p w:rsidR="00413513" w:rsidRDefault="00413513" w:rsidP="00413513">
      <w:pPr>
        <w:pStyle w:val="BodyText"/>
        <w:spacing w:before="145" w:line="302" w:lineRule="auto"/>
        <w:ind w:left="510" w:right="126"/>
        <w:jc w:val="both"/>
        <w:rPr>
          <w:b/>
          <w:color w:val="211F1F"/>
        </w:rPr>
      </w:pPr>
      <w:r>
        <w:rPr>
          <w:color w:val="211F1F"/>
        </w:rPr>
        <w:t xml:space="preserve">RESOLVED FURTHER </w:t>
      </w:r>
      <w:r>
        <w:rPr>
          <w:color w:val="211F1F"/>
          <w:spacing w:val="-4"/>
        </w:rPr>
        <w:t xml:space="preserve">THAT </w:t>
      </w:r>
      <w:r>
        <w:rPr>
          <w:color w:val="211F1F"/>
        </w:rPr>
        <w:t>the Board be and is hereby authorized to do all such acts, deeds, matters and things as may be deemed necessary to give effect to the</w:t>
      </w:r>
      <w:r w:rsidR="00541D8D">
        <w:rPr>
          <w:color w:val="211F1F"/>
        </w:rPr>
        <w:t xml:space="preserve"> </w:t>
      </w:r>
      <w:r>
        <w:rPr>
          <w:color w:val="211F1F"/>
        </w:rPr>
        <w:t>above resolution.”</w:t>
      </w:r>
    </w:p>
    <w:p w:rsidR="00413513" w:rsidRPr="008B18D9" w:rsidRDefault="00413513" w:rsidP="00413513">
      <w:pPr>
        <w:pStyle w:val="BodyText"/>
        <w:spacing w:before="145" w:line="302" w:lineRule="auto"/>
        <w:ind w:left="510" w:right="126"/>
        <w:jc w:val="both"/>
        <w:rPr>
          <w:b/>
        </w:rPr>
      </w:pPr>
    </w:p>
    <w:p w:rsidR="00413513" w:rsidRDefault="00413513" w:rsidP="00413513">
      <w:pPr>
        <w:tabs>
          <w:tab w:val="left" w:pos="3495"/>
        </w:tabs>
        <w:spacing w:before="105"/>
        <w:ind w:left="150"/>
        <w:rPr>
          <w:color w:val="211F1F"/>
          <w:sz w:val="18"/>
        </w:rPr>
      </w:pPr>
    </w:p>
    <w:p w:rsidR="00413513" w:rsidRDefault="00413513" w:rsidP="00413513">
      <w:pPr>
        <w:tabs>
          <w:tab w:val="left" w:pos="3495"/>
        </w:tabs>
        <w:spacing w:before="105"/>
        <w:ind w:left="150"/>
        <w:rPr>
          <w:color w:val="211F1F"/>
          <w:sz w:val="18"/>
        </w:rPr>
      </w:pPr>
      <w:r>
        <w:rPr>
          <w:color w:val="211F1F"/>
          <w:sz w:val="18"/>
        </w:rPr>
        <w:t xml:space="preserve">                                                For Jhandewalas Foods Limited</w:t>
      </w:r>
    </w:p>
    <w:p w:rsidR="00413513" w:rsidRDefault="00413513" w:rsidP="00413513">
      <w:pPr>
        <w:tabs>
          <w:tab w:val="left" w:pos="3495"/>
        </w:tabs>
        <w:spacing w:before="105"/>
        <w:ind w:left="150"/>
        <w:jc w:val="right"/>
        <w:rPr>
          <w:color w:val="211F1F"/>
          <w:sz w:val="18"/>
        </w:rPr>
      </w:pPr>
    </w:p>
    <w:p w:rsidR="00413513" w:rsidRDefault="00413513" w:rsidP="00413513">
      <w:pPr>
        <w:tabs>
          <w:tab w:val="left" w:pos="3495"/>
        </w:tabs>
        <w:spacing w:before="105"/>
        <w:ind w:left="150"/>
        <w:jc w:val="right"/>
        <w:rPr>
          <w:color w:val="211F1F"/>
          <w:sz w:val="18"/>
        </w:rPr>
      </w:pPr>
    </w:p>
    <w:p w:rsidR="00413513" w:rsidRDefault="00413513" w:rsidP="00413513">
      <w:pPr>
        <w:tabs>
          <w:tab w:val="left" w:pos="3495"/>
        </w:tabs>
        <w:spacing w:before="105"/>
        <w:rPr>
          <w:b/>
          <w:sz w:val="18"/>
        </w:rPr>
      </w:pPr>
      <w:r>
        <w:rPr>
          <w:color w:val="211F1F"/>
          <w:sz w:val="18"/>
        </w:rPr>
        <w:t xml:space="preserve">       Place:Jaipur</w:t>
      </w:r>
      <w:r>
        <w:rPr>
          <w:color w:val="211F1F"/>
          <w:sz w:val="18"/>
        </w:rPr>
        <w:tab/>
      </w:r>
      <w:r w:rsidR="00541D8D">
        <w:rPr>
          <w:b/>
          <w:color w:val="211F1F"/>
          <w:sz w:val="18"/>
        </w:rPr>
        <w:t>Raakesh B</w:t>
      </w:r>
      <w:r>
        <w:rPr>
          <w:b/>
          <w:color w:val="211F1F"/>
          <w:sz w:val="18"/>
        </w:rPr>
        <w:t xml:space="preserve"> Kulwal</w:t>
      </w:r>
    </w:p>
    <w:p w:rsidR="00413513" w:rsidRDefault="00413513" w:rsidP="00413513">
      <w:pPr>
        <w:pStyle w:val="BodyText"/>
        <w:tabs>
          <w:tab w:val="left" w:pos="3375"/>
        </w:tabs>
        <w:ind w:left="3889" w:right="130" w:hanging="3740"/>
        <w:rPr>
          <w:rFonts w:ascii="Liberation Sans Narrow"/>
          <w:color w:val="211F1F"/>
        </w:rPr>
      </w:pPr>
      <w:r>
        <w:rPr>
          <w:color w:val="211F1F"/>
        </w:rPr>
        <w:t xml:space="preserve">    Date: </w:t>
      </w:r>
      <w:r w:rsidRPr="00D63543">
        <w:rPr>
          <w:color w:val="211F1F"/>
        </w:rPr>
        <w:t>03</w:t>
      </w:r>
      <w:r w:rsidRPr="00D63543">
        <w:rPr>
          <w:color w:val="211F1F"/>
          <w:position w:val="6"/>
          <w:sz w:val="10"/>
        </w:rPr>
        <w:t>rd</w:t>
      </w:r>
      <w:r>
        <w:rPr>
          <w:color w:val="211F1F"/>
        </w:rPr>
        <w:t>Sep</w:t>
      </w:r>
      <w:r w:rsidRPr="00D63543">
        <w:rPr>
          <w:color w:val="211F1F"/>
        </w:rPr>
        <w:t>, 2019</w:t>
      </w:r>
      <w:r>
        <w:rPr>
          <w:color w:val="211F1F"/>
        </w:rPr>
        <w:t xml:space="preserve">                                </w:t>
      </w:r>
      <w:r w:rsidRPr="004A07F2">
        <w:rPr>
          <w:color w:val="211F1F"/>
        </w:rPr>
        <w:t>DIN:</w:t>
      </w:r>
      <w:r>
        <w:rPr>
          <w:rFonts w:ascii="Liberation Sans Narrow"/>
          <w:color w:val="211F1F"/>
        </w:rPr>
        <w:t>00615150</w:t>
      </w:r>
    </w:p>
    <w:p w:rsidR="00413513" w:rsidRDefault="00413513" w:rsidP="00413513">
      <w:pPr>
        <w:pStyle w:val="BodyText"/>
        <w:tabs>
          <w:tab w:val="left" w:pos="3375"/>
        </w:tabs>
        <w:ind w:right="130"/>
        <w:jc w:val="center"/>
      </w:pPr>
      <w:r>
        <w:rPr>
          <w:color w:val="211F1F"/>
        </w:rPr>
        <w:t xml:space="preserve">                                                                     Managing Director</w:t>
      </w:r>
    </w:p>
    <w:p w:rsidR="00413513" w:rsidRDefault="00413513" w:rsidP="00413513">
      <w:pPr>
        <w:pStyle w:val="Heading3"/>
        <w:spacing w:before="0" w:line="207" w:lineRule="exact"/>
        <w:ind w:left="807" w:right="786"/>
        <w:jc w:val="center"/>
        <w:rPr>
          <w:color w:val="211F1F"/>
        </w:rPr>
      </w:pPr>
      <w:r>
        <w:rPr>
          <w:color w:val="211F1F"/>
        </w:rPr>
        <w:t xml:space="preserve">  </w:t>
      </w:r>
    </w:p>
    <w:p w:rsidR="00413513" w:rsidRDefault="00413513" w:rsidP="00413513">
      <w:pPr>
        <w:pStyle w:val="Heading3"/>
        <w:spacing w:before="0" w:line="207" w:lineRule="exact"/>
        <w:ind w:left="807" w:right="786"/>
        <w:jc w:val="center"/>
        <w:rPr>
          <w:color w:val="211F1F"/>
        </w:rPr>
      </w:pPr>
    </w:p>
    <w:p w:rsidR="00413513" w:rsidRDefault="00413513" w:rsidP="00413513">
      <w:pPr>
        <w:pStyle w:val="Heading3"/>
        <w:spacing w:before="0" w:line="207" w:lineRule="exact"/>
        <w:ind w:left="807" w:right="786"/>
        <w:jc w:val="center"/>
        <w:rPr>
          <w:color w:val="211F1F"/>
        </w:rPr>
      </w:pPr>
    </w:p>
    <w:p w:rsidR="00413513" w:rsidRDefault="00413513" w:rsidP="00413513">
      <w:pPr>
        <w:pStyle w:val="Heading3"/>
        <w:spacing w:before="0" w:line="207" w:lineRule="exact"/>
        <w:ind w:left="807" w:right="786"/>
        <w:jc w:val="center"/>
        <w:rPr>
          <w:color w:val="211F1F"/>
        </w:rPr>
      </w:pPr>
    </w:p>
    <w:p w:rsidR="00413513" w:rsidRDefault="00413513" w:rsidP="00413513">
      <w:pPr>
        <w:pStyle w:val="Heading3"/>
        <w:spacing w:before="0" w:line="207" w:lineRule="exact"/>
        <w:ind w:left="807" w:right="786"/>
        <w:jc w:val="center"/>
        <w:rPr>
          <w:color w:val="211F1F"/>
        </w:rPr>
      </w:pPr>
    </w:p>
    <w:p w:rsidR="00413513" w:rsidRDefault="00413513" w:rsidP="00413513">
      <w:pPr>
        <w:pStyle w:val="Heading3"/>
        <w:spacing w:before="0" w:line="207" w:lineRule="exact"/>
        <w:ind w:left="807" w:right="786"/>
        <w:jc w:val="center"/>
      </w:pPr>
      <w:r>
        <w:rPr>
          <w:color w:val="211F1F"/>
        </w:rPr>
        <w:t>Registered Office:</w:t>
      </w:r>
    </w:p>
    <w:p w:rsidR="00413513" w:rsidRDefault="00413513" w:rsidP="00413513">
      <w:pPr>
        <w:pStyle w:val="BodyText"/>
        <w:spacing w:before="33" w:line="278" w:lineRule="auto"/>
        <w:ind w:left="808" w:right="786"/>
        <w:jc w:val="center"/>
      </w:pPr>
      <w:r>
        <w:rPr>
          <w:color w:val="211F1F"/>
        </w:rPr>
        <w:t>B-70, 1</w:t>
      </w:r>
      <w:r>
        <w:rPr>
          <w:color w:val="211F1F"/>
          <w:position w:val="6"/>
          <w:sz w:val="10"/>
        </w:rPr>
        <w:t>st</w:t>
      </w:r>
      <w:r>
        <w:rPr>
          <w:color w:val="211F1F"/>
        </w:rPr>
        <w:t>Floor, Upasana House, Janta Store Bapu Nagar Jaipur - 302015, Rajasthan</w:t>
      </w:r>
    </w:p>
    <w:p w:rsidR="00413513" w:rsidRDefault="00413513" w:rsidP="00413513">
      <w:pPr>
        <w:pStyle w:val="BodyText"/>
        <w:spacing w:before="71"/>
        <w:ind w:left="1230"/>
      </w:pPr>
      <w:r>
        <w:rPr>
          <w:color w:val="211F1F"/>
        </w:rPr>
        <w:t>CIN: L15209RJ2006PLC022941</w:t>
      </w:r>
    </w:p>
    <w:p w:rsidR="00413513" w:rsidRPr="005872A1" w:rsidRDefault="00413513" w:rsidP="00413513">
      <w:pPr>
        <w:pStyle w:val="BodyText"/>
        <w:spacing w:before="33"/>
        <w:ind w:left="1426"/>
        <w:rPr>
          <w:u w:val="single"/>
        </w:rPr>
      </w:pPr>
      <w:r w:rsidRPr="005872A1">
        <w:rPr>
          <w:color w:val="211F1F"/>
          <w:u w:val="single"/>
        </w:rPr>
        <w:t>W</w:t>
      </w:r>
      <w:hyperlink r:id="rId8" w:history="1">
        <w:r w:rsidRPr="005872A1">
          <w:rPr>
            <w:rStyle w:val="Hyperlink"/>
          </w:rPr>
          <w:t>ebsite: www.namans.co.in</w:t>
        </w:r>
      </w:hyperlink>
    </w:p>
    <w:p w:rsidR="00413513" w:rsidRPr="007C0C97" w:rsidRDefault="00413513" w:rsidP="00413513">
      <w:pPr>
        <w:pStyle w:val="BodyText"/>
        <w:tabs>
          <w:tab w:val="left" w:pos="2907"/>
          <w:tab w:val="left" w:pos="3274"/>
        </w:tabs>
        <w:spacing w:before="33" w:line="278" w:lineRule="auto"/>
        <w:ind w:right="299"/>
        <w:jc w:val="both"/>
      </w:pPr>
      <w:r>
        <w:rPr>
          <w:color w:val="211F1F"/>
        </w:rPr>
        <w:t xml:space="preserve">                             E-mail:</w:t>
      </w:r>
      <w:r>
        <w:t xml:space="preserve">acc.jfpl@gmail.com                                                                             </w:t>
      </w:r>
    </w:p>
    <w:p w:rsidR="00413513" w:rsidRDefault="00413513" w:rsidP="00413513">
      <w:pPr>
        <w:pStyle w:val="BodyText"/>
        <w:tabs>
          <w:tab w:val="left" w:pos="2907"/>
          <w:tab w:val="left" w:pos="3274"/>
        </w:tabs>
        <w:spacing w:before="33" w:line="278" w:lineRule="auto"/>
        <w:ind w:right="299"/>
        <w:jc w:val="both"/>
        <w:rPr>
          <w:color w:val="211F1F"/>
          <w:spacing w:val="-4"/>
        </w:rPr>
      </w:pPr>
    </w:p>
    <w:p w:rsidR="00413513" w:rsidRDefault="00413513" w:rsidP="00413513">
      <w:pPr>
        <w:pStyle w:val="BodyText"/>
        <w:tabs>
          <w:tab w:val="left" w:pos="2907"/>
          <w:tab w:val="left" w:pos="3274"/>
        </w:tabs>
        <w:spacing w:before="33" w:line="278" w:lineRule="auto"/>
        <w:ind w:right="299"/>
        <w:jc w:val="right"/>
      </w:pPr>
      <w:r>
        <w:rPr>
          <w:color w:val="211F1F"/>
          <w:spacing w:val="-4"/>
        </w:rPr>
        <w:t xml:space="preserve">Tel: </w:t>
      </w:r>
      <w:r>
        <w:rPr>
          <w:color w:val="211F1F"/>
          <w:spacing w:val="3"/>
        </w:rPr>
        <w:t>0141-2574935</w:t>
      </w:r>
    </w:p>
    <w:p w:rsidR="00413513" w:rsidRDefault="00413513" w:rsidP="00413513">
      <w:pPr>
        <w:pStyle w:val="BodyText"/>
        <w:spacing w:before="144" w:line="302" w:lineRule="auto"/>
        <w:ind w:left="509" w:right="117"/>
        <w:jc w:val="both"/>
        <w:rPr>
          <w:color w:val="211F1F"/>
        </w:rPr>
      </w:pPr>
    </w:p>
    <w:p w:rsidR="00413513" w:rsidRDefault="00413513" w:rsidP="00413513">
      <w:pPr>
        <w:pStyle w:val="BodyText"/>
        <w:spacing w:before="144" w:line="302" w:lineRule="auto"/>
        <w:ind w:left="509" w:right="117"/>
        <w:jc w:val="both"/>
        <w:rPr>
          <w:color w:val="211F1F"/>
        </w:rPr>
      </w:pPr>
    </w:p>
    <w:p w:rsidR="00413513" w:rsidRDefault="00413513" w:rsidP="00413513">
      <w:pPr>
        <w:pStyle w:val="BodyText"/>
        <w:spacing w:before="144" w:line="302" w:lineRule="auto"/>
        <w:ind w:left="509" w:right="117"/>
        <w:jc w:val="both"/>
        <w:rPr>
          <w:color w:val="211F1F"/>
        </w:rPr>
      </w:pPr>
    </w:p>
    <w:p w:rsidR="00413513" w:rsidRDefault="00413513" w:rsidP="00413513">
      <w:pPr>
        <w:pStyle w:val="BodyText"/>
        <w:spacing w:before="144" w:line="302" w:lineRule="auto"/>
        <w:ind w:left="509" w:right="117"/>
        <w:jc w:val="both"/>
        <w:rPr>
          <w:color w:val="211F1F"/>
        </w:rPr>
      </w:pPr>
    </w:p>
    <w:p w:rsidR="00413513" w:rsidRDefault="00413513" w:rsidP="00413513">
      <w:pPr>
        <w:pStyle w:val="BodyText"/>
        <w:spacing w:before="144" w:line="302" w:lineRule="auto"/>
        <w:ind w:left="509" w:right="117"/>
        <w:jc w:val="both"/>
        <w:rPr>
          <w:color w:val="211F1F"/>
        </w:rPr>
      </w:pPr>
    </w:p>
    <w:p w:rsidR="00413513" w:rsidRPr="00354992" w:rsidRDefault="00413513" w:rsidP="00413513">
      <w:pPr>
        <w:pStyle w:val="BodyText"/>
        <w:spacing w:before="144" w:line="302" w:lineRule="auto"/>
        <w:ind w:right="117"/>
        <w:jc w:val="both"/>
        <w:sectPr w:rsidR="00413513" w:rsidRPr="00354992" w:rsidSect="00A00C1B">
          <w:type w:val="continuous"/>
          <w:pgSz w:w="11900" w:h="16840"/>
          <w:pgMar w:top="0" w:right="780" w:bottom="0" w:left="76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equalWidth="0">
            <w:col w:w="5064" w:space="154"/>
            <w:col w:w="5142"/>
          </w:cols>
        </w:sectPr>
      </w:pPr>
    </w:p>
    <w:p w:rsidR="00413513" w:rsidRDefault="00413513" w:rsidP="00413513">
      <w:pPr>
        <w:pStyle w:val="BodyText"/>
        <w:spacing w:before="8"/>
        <w:rPr>
          <w:sz w:val="21"/>
        </w:rPr>
      </w:pPr>
    </w:p>
    <w:p w:rsidR="00413513" w:rsidRDefault="00413513" w:rsidP="00413513">
      <w:pPr>
        <w:tabs>
          <w:tab w:val="left" w:pos="5310"/>
        </w:tabs>
        <w:rPr>
          <w:sz w:val="21"/>
        </w:rPr>
        <w:sectPr w:rsidR="00413513" w:rsidSect="00A00C1B">
          <w:pgSz w:w="11900" w:h="16840"/>
          <w:pgMar w:top="1600" w:right="780" w:bottom="1320" w:left="760" w:header="0" w:footer="105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413513" w:rsidRDefault="00413513" w:rsidP="00413513">
      <w:pPr>
        <w:pStyle w:val="BodyText"/>
        <w:spacing w:before="94" w:line="302" w:lineRule="auto"/>
        <w:ind w:left="510" w:right="39"/>
        <w:jc w:val="both"/>
      </w:pPr>
    </w:p>
    <w:p w:rsidR="00413513" w:rsidRDefault="00413513" w:rsidP="00413513">
      <w:pPr>
        <w:pStyle w:val="BodyText"/>
        <w:rPr>
          <w:sz w:val="20"/>
        </w:rPr>
      </w:pPr>
    </w:p>
    <w:p w:rsidR="00413513" w:rsidRDefault="00413513" w:rsidP="00413513">
      <w:pPr>
        <w:pStyle w:val="BodyText"/>
        <w:rPr>
          <w:sz w:val="20"/>
        </w:rPr>
      </w:pPr>
    </w:p>
    <w:p w:rsidR="00413513" w:rsidRDefault="00D109F5" w:rsidP="00413513">
      <w:pPr>
        <w:spacing w:before="172"/>
        <w:ind w:left="150"/>
        <w:rPr>
          <w:b/>
        </w:rPr>
      </w:pPr>
      <w:r w:rsidRPr="00D109F5">
        <w:pict>
          <v:line id="_x0000_s1026" style="position:absolute;left:0;text-align:left;z-index:251660288;mso-position-horizontal-relative:page" from="45.5pt,4.75pt" to="549.5pt,4.75pt" strokecolor="#ed1c23" strokeweight=".48pt">
            <w10:wrap anchorx="page"/>
          </v:line>
        </w:pict>
      </w:r>
      <w:r w:rsidR="00413513">
        <w:rPr>
          <w:b/>
          <w:color w:val="ED1C23"/>
        </w:rPr>
        <w:t>NOTES</w:t>
      </w:r>
    </w:p>
    <w:p w:rsidR="00413513" w:rsidRPr="00695140" w:rsidRDefault="00413513" w:rsidP="00413513">
      <w:pPr>
        <w:pStyle w:val="Heading3"/>
        <w:numPr>
          <w:ilvl w:val="0"/>
          <w:numId w:val="1"/>
        </w:numPr>
        <w:tabs>
          <w:tab w:val="left" w:pos="510"/>
        </w:tabs>
        <w:spacing w:before="173" w:line="278" w:lineRule="auto"/>
        <w:ind w:right="38"/>
        <w:jc w:val="both"/>
        <w:rPr>
          <w:color w:val="211F1F"/>
        </w:rPr>
      </w:pPr>
      <w:r>
        <w:rPr>
          <w:color w:val="211F1F"/>
        </w:rPr>
        <w:t xml:space="preserve">A </w:t>
      </w:r>
      <w:r>
        <w:rPr>
          <w:color w:val="211F1F"/>
          <w:spacing w:val="3"/>
        </w:rPr>
        <w:t xml:space="preserve">MEMBER ENTITLED </w:t>
      </w:r>
      <w:r>
        <w:rPr>
          <w:color w:val="211F1F"/>
        </w:rPr>
        <w:t xml:space="preserve">TO ATTEND </w:t>
      </w:r>
      <w:r>
        <w:rPr>
          <w:color w:val="211F1F"/>
          <w:spacing w:val="2"/>
        </w:rPr>
        <w:t xml:space="preserve">AND </w:t>
      </w:r>
      <w:r>
        <w:rPr>
          <w:color w:val="211F1F"/>
          <w:spacing w:val="3"/>
        </w:rPr>
        <w:t xml:space="preserve">VOTE </w:t>
      </w:r>
      <w:r>
        <w:rPr>
          <w:color w:val="211F1F"/>
          <w:spacing w:val="4"/>
        </w:rPr>
        <w:t xml:space="preserve">IS </w:t>
      </w:r>
      <w:r>
        <w:rPr>
          <w:color w:val="211F1F"/>
        </w:rPr>
        <w:t xml:space="preserve">ENTITLED TO APPOINT A PROXY TO ATTEND AND VOTE ON HIS/HER BEHALF AND </w:t>
      </w:r>
      <w:r w:rsidRPr="00695140">
        <w:rPr>
          <w:color w:val="211F1F"/>
        </w:rPr>
        <w:t xml:space="preserve">THE PROXY NEED </w:t>
      </w:r>
      <w:r w:rsidRPr="00695140">
        <w:rPr>
          <w:color w:val="211F1F"/>
          <w:spacing w:val="8"/>
        </w:rPr>
        <w:t xml:space="preserve">NOT </w:t>
      </w:r>
      <w:r w:rsidRPr="00695140">
        <w:rPr>
          <w:color w:val="211F1F"/>
          <w:spacing w:val="6"/>
        </w:rPr>
        <w:t xml:space="preserve">BE </w:t>
      </w:r>
      <w:r w:rsidRPr="00695140">
        <w:rPr>
          <w:color w:val="211F1F"/>
        </w:rPr>
        <w:t xml:space="preserve">A </w:t>
      </w:r>
      <w:r w:rsidRPr="00695140">
        <w:rPr>
          <w:color w:val="211F1F"/>
          <w:spacing w:val="10"/>
        </w:rPr>
        <w:t xml:space="preserve">MEMBER </w:t>
      </w:r>
      <w:r w:rsidRPr="00695140">
        <w:rPr>
          <w:color w:val="211F1F"/>
          <w:spacing w:val="6"/>
        </w:rPr>
        <w:t xml:space="preserve">OF </w:t>
      </w:r>
      <w:r w:rsidRPr="00695140">
        <w:rPr>
          <w:color w:val="211F1F"/>
          <w:spacing w:val="8"/>
        </w:rPr>
        <w:t xml:space="preserve">THE </w:t>
      </w:r>
      <w:r w:rsidRPr="00695140">
        <w:rPr>
          <w:color w:val="211F1F"/>
          <w:spacing w:val="7"/>
        </w:rPr>
        <w:t xml:space="preserve">COMPANY. </w:t>
      </w:r>
      <w:r w:rsidRPr="00695140">
        <w:rPr>
          <w:color w:val="211F1F"/>
          <w:spacing w:val="13"/>
        </w:rPr>
        <w:t xml:space="preserve">THE </w:t>
      </w:r>
      <w:r w:rsidRPr="00695140">
        <w:rPr>
          <w:color w:val="211F1F"/>
          <w:spacing w:val="11"/>
        </w:rPr>
        <w:t xml:space="preserve">INSTRUMENT </w:t>
      </w:r>
      <w:r w:rsidRPr="00695140">
        <w:rPr>
          <w:color w:val="211F1F"/>
          <w:spacing w:val="6"/>
        </w:rPr>
        <w:t xml:space="preserve">OF </w:t>
      </w:r>
      <w:r w:rsidRPr="00695140">
        <w:rPr>
          <w:color w:val="211F1F"/>
          <w:spacing w:val="7"/>
        </w:rPr>
        <w:t xml:space="preserve">PROXY, </w:t>
      </w:r>
      <w:r w:rsidRPr="00695140">
        <w:rPr>
          <w:color w:val="211F1F"/>
          <w:spacing w:val="6"/>
        </w:rPr>
        <w:t xml:space="preserve">IN </w:t>
      </w:r>
      <w:r w:rsidRPr="00695140">
        <w:rPr>
          <w:color w:val="211F1F"/>
          <w:spacing w:val="10"/>
        </w:rPr>
        <w:t xml:space="preserve">ORDER </w:t>
      </w:r>
      <w:r w:rsidRPr="00695140">
        <w:rPr>
          <w:color w:val="211F1F"/>
          <w:spacing w:val="4"/>
        </w:rPr>
        <w:t xml:space="preserve">TO </w:t>
      </w:r>
      <w:r w:rsidRPr="00695140">
        <w:rPr>
          <w:color w:val="211F1F"/>
          <w:spacing w:val="6"/>
        </w:rPr>
        <w:t xml:space="preserve">BE </w:t>
      </w:r>
      <w:r w:rsidRPr="00695140">
        <w:rPr>
          <w:color w:val="211F1F"/>
          <w:spacing w:val="10"/>
        </w:rPr>
        <w:t xml:space="preserve">EFFECTIVE, SHOULD </w:t>
      </w:r>
      <w:r w:rsidRPr="00695140">
        <w:rPr>
          <w:color w:val="211F1F"/>
          <w:spacing w:val="6"/>
        </w:rPr>
        <w:t xml:space="preserve">BE </w:t>
      </w:r>
      <w:r w:rsidRPr="00695140">
        <w:rPr>
          <w:color w:val="211F1F"/>
          <w:spacing w:val="10"/>
        </w:rPr>
        <w:t xml:space="preserve">DEPOSITED </w:t>
      </w:r>
      <w:r w:rsidRPr="00695140">
        <w:rPr>
          <w:color w:val="211F1F"/>
        </w:rPr>
        <w:t xml:space="preserve">AT </w:t>
      </w:r>
      <w:r w:rsidRPr="00695140">
        <w:rPr>
          <w:color w:val="211F1F"/>
          <w:spacing w:val="12"/>
        </w:rPr>
        <w:t xml:space="preserve">THE </w:t>
      </w:r>
      <w:r w:rsidRPr="00695140">
        <w:rPr>
          <w:color w:val="211F1F"/>
          <w:spacing w:val="6"/>
        </w:rPr>
        <w:t xml:space="preserve">REGISTERED </w:t>
      </w:r>
      <w:r w:rsidRPr="00695140">
        <w:rPr>
          <w:color w:val="211F1F"/>
          <w:spacing w:val="5"/>
        </w:rPr>
        <w:t xml:space="preserve">OFFICE </w:t>
      </w:r>
      <w:r w:rsidRPr="00695140">
        <w:rPr>
          <w:color w:val="211F1F"/>
          <w:spacing w:val="3"/>
        </w:rPr>
        <w:t xml:space="preserve">OF </w:t>
      </w:r>
      <w:r w:rsidRPr="00695140">
        <w:rPr>
          <w:color w:val="211F1F"/>
          <w:spacing w:val="4"/>
        </w:rPr>
        <w:t xml:space="preserve">THE </w:t>
      </w:r>
      <w:r w:rsidRPr="00695140">
        <w:rPr>
          <w:color w:val="211F1F"/>
        </w:rPr>
        <w:t xml:space="preserve">COMPANY, </w:t>
      </w:r>
      <w:r w:rsidRPr="00695140">
        <w:rPr>
          <w:color w:val="211F1F"/>
          <w:spacing w:val="2"/>
        </w:rPr>
        <w:t xml:space="preserve">DULY COMPLETED </w:t>
      </w:r>
      <w:r w:rsidRPr="00695140">
        <w:rPr>
          <w:color w:val="211F1F"/>
        </w:rPr>
        <w:t xml:space="preserve">AND </w:t>
      </w:r>
      <w:r w:rsidRPr="00695140">
        <w:rPr>
          <w:color w:val="211F1F"/>
          <w:spacing w:val="2"/>
        </w:rPr>
        <w:t xml:space="preserve">SIGNED, </w:t>
      </w:r>
      <w:r w:rsidRPr="00695140">
        <w:rPr>
          <w:color w:val="211F1F"/>
        </w:rPr>
        <w:t xml:space="preserve">NOT LATER </w:t>
      </w:r>
      <w:r w:rsidRPr="00695140">
        <w:rPr>
          <w:color w:val="211F1F"/>
          <w:spacing w:val="2"/>
        </w:rPr>
        <w:t xml:space="preserve">THAN </w:t>
      </w:r>
      <w:r w:rsidRPr="00695140">
        <w:rPr>
          <w:color w:val="211F1F"/>
          <w:spacing w:val="3"/>
        </w:rPr>
        <w:t xml:space="preserve">48 HOURS BEFORE </w:t>
      </w:r>
      <w:r w:rsidRPr="00695140">
        <w:rPr>
          <w:color w:val="211F1F"/>
          <w:spacing w:val="2"/>
        </w:rPr>
        <w:t xml:space="preserve">THE </w:t>
      </w:r>
      <w:r w:rsidRPr="00695140">
        <w:rPr>
          <w:color w:val="211F1F"/>
          <w:spacing w:val="3"/>
        </w:rPr>
        <w:t xml:space="preserve">COMMENCEMENT </w:t>
      </w:r>
      <w:r w:rsidRPr="00695140">
        <w:rPr>
          <w:color w:val="211F1F"/>
          <w:spacing w:val="2"/>
        </w:rPr>
        <w:t xml:space="preserve">OF </w:t>
      </w:r>
      <w:r w:rsidRPr="00695140">
        <w:rPr>
          <w:color w:val="211F1F"/>
          <w:spacing w:val="4"/>
        </w:rPr>
        <w:t xml:space="preserve">THE </w:t>
      </w:r>
      <w:r w:rsidRPr="00695140">
        <w:rPr>
          <w:color w:val="211F1F"/>
        </w:rPr>
        <w:t xml:space="preserve">MEETING. A </w:t>
      </w:r>
      <w:r w:rsidRPr="00695140">
        <w:rPr>
          <w:color w:val="211F1F"/>
          <w:spacing w:val="3"/>
        </w:rPr>
        <w:t xml:space="preserve">PROXY FORM </w:t>
      </w:r>
      <w:r w:rsidRPr="00695140">
        <w:rPr>
          <w:color w:val="211F1F"/>
        </w:rPr>
        <w:t xml:space="preserve">IS </w:t>
      </w:r>
      <w:r w:rsidRPr="00695140">
        <w:rPr>
          <w:color w:val="211F1F"/>
          <w:spacing w:val="2"/>
        </w:rPr>
        <w:t xml:space="preserve">ANNEXED </w:t>
      </w:r>
      <w:r w:rsidRPr="00695140">
        <w:rPr>
          <w:color w:val="211F1F"/>
          <w:spacing w:val="-3"/>
        </w:rPr>
        <w:t xml:space="preserve">TO </w:t>
      </w:r>
      <w:r w:rsidRPr="00695140">
        <w:rPr>
          <w:color w:val="211F1F"/>
          <w:spacing w:val="4"/>
        </w:rPr>
        <w:t xml:space="preserve">THIS </w:t>
      </w:r>
      <w:r w:rsidRPr="00695140">
        <w:rPr>
          <w:color w:val="211F1F"/>
          <w:spacing w:val="2"/>
        </w:rPr>
        <w:t xml:space="preserve">REPORT. </w:t>
      </w:r>
      <w:r w:rsidRPr="00695140">
        <w:rPr>
          <w:color w:val="211F1F"/>
          <w:spacing w:val="5"/>
        </w:rPr>
        <w:t xml:space="preserve">PROXIES SUBMITTED </w:t>
      </w:r>
      <w:r w:rsidRPr="00695140">
        <w:rPr>
          <w:color w:val="211F1F"/>
          <w:spacing w:val="3"/>
        </w:rPr>
        <w:t xml:space="preserve">ON </w:t>
      </w:r>
      <w:r w:rsidRPr="00695140">
        <w:rPr>
          <w:color w:val="211F1F"/>
          <w:spacing w:val="5"/>
        </w:rPr>
        <w:t xml:space="preserve">BEHALF </w:t>
      </w:r>
      <w:r w:rsidRPr="00695140">
        <w:rPr>
          <w:color w:val="211F1F"/>
          <w:spacing w:val="6"/>
        </w:rPr>
        <w:t xml:space="preserve">OF </w:t>
      </w:r>
      <w:r w:rsidRPr="00695140">
        <w:rPr>
          <w:color w:val="211F1F"/>
          <w:spacing w:val="2"/>
        </w:rPr>
        <w:t xml:space="preserve">LIMITED </w:t>
      </w:r>
      <w:r w:rsidRPr="00695140">
        <w:rPr>
          <w:color w:val="211F1F"/>
        </w:rPr>
        <w:t xml:space="preserve">COMPANIES, </w:t>
      </w:r>
      <w:r w:rsidRPr="00695140">
        <w:rPr>
          <w:color w:val="211F1F"/>
          <w:spacing w:val="2"/>
        </w:rPr>
        <w:t xml:space="preserve">SOCIETIES, </w:t>
      </w:r>
      <w:r w:rsidRPr="00695140">
        <w:rPr>
          <w:color w:val="211F1F"/>
        </w:rPr>
        <w:t xml:space="preserve">ETC </w:t>
      </w:r>
      <w:r w:rsidRPr="00695140">
        <w:rPr>
          <w:color w:val="211F1F"/>
          <w:spacing w:val="2"/>
        </w:rPr>
        <w:t xml:space="preserve">MUST </w:t>
      </w:r>
      <w:r w:rsidRPr="00695140">
        <w:rPr>
          <w:color w:val="211F1F"/>
          <w:spacing w:val="3"/>
        </w:rPr>
        <w:t xml:space="preserve">BE </w:t>
      </w:r>
      <w:r w:rsidRPr="00695140">
        <w:rPr>
          <w:color w:val="211F1F"/>
        </w:rPr>
        <w:t>SUPPORTED BY AN APPROPRIATE RESOLUTION/ AUTHORITY, ASAPPLICABLE.</w:t>
      </w:r>
    </w:p>
    <w:p w:rsidR="00413513" w:rsidRPr="00695140" w:rsidRDefault="00413513" w:rsidP="00413513">
      <w:pPr>
        <w:pStyle w:val="ListParagraph"/>
        <w:numPr>
          <w:ilvl w:val="0"/>
          <w:numId w:val="1"/>
        </w:numPr>
        <w:tabs>
          <w:tab w:val="left" w:pos="510"/>
        </w:tabs>
        <w:spacing w:before="142" w:line="278" w:lineRule="auto"/>
        <w:ind w:right="41"/>
        <w:jc w:val="both"/>
        <w:rPr>
          <w:color w:val="211F1F"/>
          <w:sz w:val="18"/>
        </w:rPr>
      </w:pPr>
      <w:r w:rsidRPr="00695140">
        <w:rPr>
          <w:color w:val="211F1F"/>
          <w:sz w:val="18"/>
        </w:rPr>
        <w:t xml:space="preserve">The </w:t>
      </w:r>
      <w:r w:rsidRPr="00695140">
        <w:rPr>
          <w:color w:val="211F1F"/>
          <w:spacing w:val="2"/>
          <w:sz w:val="18"/>
        </w:rPr>
        <w:t xml:space="preserve">Register </w:t>
      </w:r>
      <w:r w:rsidRPr="00695140">
        <w:rPr>
          <w:color w:val="211F1F"/>
          <w:sz w:val="18"/>
        </w:rPr>
        <w:t xml:space="preserve">of </w:t>
      </w:r>
      <w:r w:rsidRPr="00695140">
        <w:rPr>
          <w:color w:val="211F1F"/>
          <w:spacing w:val="2"/>
          <w:sz w:val="18"/>
        </w:rPr>
        <w:t xml:space="preserve">Members </w:t>
      </w:r>
      <w:r w:rsidRPr="00695140">
        <w:rPr>
          <w:color w:val="211F1F"/>
          <w:sz w:val="18"/>
        </w:rPr>
        <w:t xml:space="preserve">and Transfer </w:t>
      </w:r>
      <w:r w:rsidRPr="00695140">
        <w:rPr>
          <w:color w:val="211F1F"/>
          <w:spacing w:val="2"/>
          <w:sz w:val="18"/>
        </w:rPr>
        <w:t xml:space="preserve">Books </w:t>
      </w:r>
      <w:r w:rsidRPr="00695140">
        <w:rPr>
          <w:color w:val="211F1F"/>
          <w:sz w:val="18"/>
        </w:rPr>
        <w:t xml:space="preserve">of </w:t>
      </w:r>
      <w:r w:rsidRPr="00695140">
        <w:rPr>
          <w:color w:val="211F1F"/>
          <w:spacing w:val="3"/>
          <w:sz w:val="18"/>
        </w:rPr>
        <w:t xml:space="preserve">the </w:t>
      </w:r>
      <w:r w:rsidRPr="00695140">
        <w:rPr>
          <w:color w:val="211F1F"/>
          <w:sz w:val="18"/>
        </w:rPr>
        <w:t xml:space="preserve">Company will remain closed from </w:t>
      </w:r>
      <w:r>
        <w:rPr>
          <w:color w:val="211F1F"/>
          <w:sz w:val="18"/>
        </w:rPr>
        <w:t>23</w:t>
      </w:r>
      <w:r w:rsidRPr="00342567">
        <w:rPr>
          <w:color w:val="211F1F"/>
          <w:sz w:val="18"/>
          <w:vertAlign w:val="superscript"/>
        </w:rPr>
        <w:t>rd</w:t>
      </w:r>
      <w:r>
        <w:rPr>
          <w:color w:val="211F1F"/>
          <w:sz w:val="18"/>
        </w:rPr>
        <w:t xml:space="preserve"> </w:t>
      </w:r>
      <w:r w:rsidRPr="00695140">
        <w:rPr>
          <w:color w:val="211F1F"/>
          <w:sz w:val="18"/>
        </w:rPr>
        <w:t xml:space="preserve">September, 2019 to </w:t>
      </w:r>
      <w:r>
        <w:rPr>
          <w:color w:val="211F1F"/>
          <w:spacing w:val="2"/>
          <w:sz w:val="18"/>
        </w:rPr>
        <w:t>30</w:t>
      </w:r>
      <w:r w:rsidRPr="004037AD">
        <w:rPr>
          <w:color w:val="211F1F"/>
          <w:spacing w:val="2"/>
          <w:sz w:val="18"/>
          <w:vertAlign w:val="superscript"/>
        </w:rPr>
        <w:t>th</w:t>
      </w:r>
      <w:r>
        <w:rPr>
          <w:color w:val="211F1F"/>
          <w:spacing w:val="2"/>
          <w:sz w:val="18"/>
        </w:rPr>
        <w:t xml:space="preserve"> September, 2019</w:t>
      </w:r>
      <w:r w:rsidRPr="00695140">
        <w:rPr>
          <w:color w:val="211F1F"/>
          <w:spacing w:val="3"/>
          <w:sz w:val="18"/>
        </w:rPr>
        <w:t xml:space="preserve"> (both days inclusive) </w:t>
      </w:r>
      <w:r w:rsidRPr="00695140">
        <w:rPr>
          <w:color w:val="211F1F"/>
          <w:spacing w:val="2"/>
          <w:sz w:val="18"/>
        </w:rPr>
        <w:t xml:space="preserve">for </w:t>
      </w:r>
      <w:r w:rsidRPr="00695140">
        <w:rPr>
          <w:color w:val="211F1F"/>
          <w:spacing w:val="4"/>
          <w:sz w:val="18"/>
        </w:rPr>
        <w:t xml:space="preserve">the purpose </w:t>
      </w:r>
      <w:r w:rsidRPr="00695140">
        <w:rPr>
          <w:color w:val="211F1F"/>
          <w:spacing w:val="2"/>
          <w:sz w:val="18"/>
        </w:rPr>
        <w:t xml:space="preserve">of </w:t>
      </w:r>
      <w:r w:rsidRPr="00695140">
        <w:rPr>
          <w:color w:val="211F1F"/>
          <w:spacing w:val="3"/>
          <w:sz w:val="18"/>
        </w:rPr>
        <w:t>the 13</w:t>
      </w:r>
      <w:r w:rsidRPr="004037AD">
        <w:rPr>
          <w:color w:val="211F1F"/>
          <w:spacing w:val="3"/>
          <w:position w:val="6"/>
          <w:sz w:val="10"/>
          <w:vertAlign w:val="superscript"/>
        </w:rPr>
        <w:t>th</w:t>
      </w:r>
      <w:r>
        <w:rPr>
          <w:color w:val="211F1F"/>
          <w:spacing w:val="3"/>
          <w:position w:val="6"/>
          <w:sz w:val="10"/>
        </w:rPr>
        <w:t xml:space="preserve"> </w:t>
      </w:r>
      <w:r w:rsidRPr="00695140">
        <w:rPr>
          <w:color w:val="211F1F"/>
          <w:spacing w:val="5"/>
          <w:sz w:val="18"/>
        </w:rPr>
        <w:t xml:space="preserve">Annual General Meeting </w:t>
      </w:r>
      <w:r w:rsidRPr="00695140">
        <w:rPr>
          <w:color w:val="211F1F"/>
          <w:spacing w:val="2"/>
          <w:sz w:val="18"/>
        </w:rPr>
        <w:t xml:space="preserve">or </w:t>
      </w:r>
      <w:r w:rsidRPr="00695140">
        <w:rPr>
          <w:color w:val="211F1F"/>
          <w:spacing w:val="5"/>
          <w:sz w:val="18"/>
        </w:rPr>
        <w:t xml:space="preserve">any </w:t>
      </w:r>
      <w:r w:rsidRPr="00695140">
        <w:rPr>
          <w:color w:val="211F1F"/>
          <w:sz w:val="18"/>
        </w:rPr>
        <w:t>adjournment</w:t>
      </w:r>
      <w:r>
        <w:rPr>
          <w:color w:val="211F1F"/>
          <w:sz w:val="18"/>
        </w:rPr>
        <w:t xml:space="preserve"> </w:t>
      </w:r>
      <w:r w:rsidRPr="00695140">
        <w:rPr>
          <w:color w:val="211F1F"/>
          <w:sz w:val="18"/>
        </w:rPr>
        <w:t>thereof.</w:t>
      </w:r>
    </w:p>
    <w:p w:rsidR="00413513" w:rsidRPr="00695140" w:rsidRDefault="00413513" w:rsidP="00413513">
      <w:pPr>
        <w:pStyle w:val="ListParagraph"/>
        <w:numPr>
          <w:ilvl w:val="0"/>
          <w:numId w:val="1"/>
        </w:numPr>
        <w:tabs>
          <w:tab w:val="left" w:pos="510"/>
        </w:tabs>
        <w:spacing w:line="278" w:lineRule="auto"/>
        <w:ind w:right="44"/>
        <w:jc w:val="both"/>
        <w:rPr>
          <w:color w:val="211F1F"/>
          <w:sz w:val="18"/>
        </w:rPr>
      </w:pPr>
      <w:r w:rsidRPr="00695140">
        <w:rPr>
          <w:color w:val="211F1F"/>
          <w:sz w:val="18"/>
        </w:rPr>
        <w:t xml:space="preserve">Notice of AGM and the Annual Report are being sent to those members, whose name appeared in the register of members / list of beneficial owners as received from </w:t>
      </w:r>
      <w:r w:rsidRPr="00695140">
        <w:rPr>
          <w:color w:val="211F1F"/>
          <w:spacing w:val="7"/>
          <w:sz w:val="18"/>
        </w:rPr>
        <w:t xml:space="preserve">NSDL/CDSL, </w:t>
      </w:r>
      <w:r w:rsidRPr="00695140">
        <w:rPr>
          <w:color w:val="211F1F"/>
          <w:spacing w:val="4"/>
          <w:sz w:val="18"/>
        </w:rPr>
        <w:t xml:space="preserve">as at </w:t>
      </w:r>
      <w:r w:rsidRPr="00695140">
        <w:rPr>
          <w:color w:val="211F1F"/>
          <w:spacing w:val="6"/>
          <w:sz w:val="18"/>
        </w:rPr>
        <w:t xml:space="preserve">the </w:t>
      </w:r>
      <w:r w:rsidRPr="00695140">
        <w:rPr>
          <w:color w:val="211F1F"/>
          <w:spacing w:val="7"/>
          <w:sz w:val="18"/>
        </w:rPr>
        <w:t xml:space="preserve">close </w:t>
      </w:r>
      <w:r w:rsidRPr="00695140">
        <w:rPr>
          <w:color w:val="211F1F"/>
          <w:spacing w:val="4"/>
          <w:sz w:val="18"/>
        </w:rPr>
        <w:t xml:space="preserve">of </w:t>
      </w:r>
      <w:r w:rsidRPr="00695140">
        <w:rPr>
          <w:color w:val="211F1F"/>
          <w:spacing w:val="7"/>
          <w:sz w:val="18"/>
        </w:rPr>
        <w:t xml:space="preserve">business </w:t>
      </w:r>
      <w:r w:rsidRPr="00695140">
        <w:rPr>
          <w:color w:val="211F1F"/>
          <w:spacing w:val="6"/>
          <w:sz w:val="18"/>
        </w:rPr>
        <w:t xml:space="preserve">hour </w:t>
      </w:r>
      <w:r w:rsidRPr="00695140">
        <w:rPr>
          <w:color w:val="211F1F"/>
          <w:spacing w:val="9"/>
          <w:sz w:val="18"/>
        </w:rPr>
        <w:t xml:space="preserve">on </w:t>
      </w:r>
      <w:r w:rsidRPr="00695140">
        <w:rPr>
          <w:color w:val="211F1F"/>
          <w:sz w:val="18"/>
        </w:rPr>
        <w:t>Tuesday, September 03</w:t>
      </w:r>
      <w:r w:rsidRPr="00342567">
        <w:rPr>
          <w:color w:val="211F1F"/>
          <w:position w:val="6"/>
          <w:sz w:val="10"/>
          <w:vertAlign w:val="superscript"/>
        </w:rPr>
        <w:t>rd</w:t>
      </w:r>
      <w:r>
        <w:rPr>
          <w:color w:val="211F1F"/>
          <w:position w:val="6"/>
          <w:sz w:val="10"/>
        </w:rPr>
        <w:t xml:space="preserve"> </w:t>
      </w:r>
      <w:r w:rsidRPr="00695140">
        <w:rPr>
          <w:color w:val="211F1F"/>
          <w:sz w:val="18"/>
        </w:rPr>
        <w:t>2019. Notice and Annual Report are</w:t>
      </w:r>
      <w:r>
        <w:rPr>
          <w:color w:val="211F1F"/>
          <w:sz w:val="18"/>
        </w:rPr>
        <w:t xml:space="preserve"> </w:t>
      </w:r>
      <w:r w:rsidRPr="00695140">
        <w:rPr>
          <w:color w:val="211F1F"/>
          <w:sz w:val="18"/>
        </w:rPr>
        <w:t>also</w:t>
      </w:r>
      <w:r>
        <w:rPr>
          <w:color w:val="211F1F"/>
          <w:sz w:val="18"/>
        </w:rPr>
        <w:t xml:space="preserve"> </w:t>
      </w:r>
      <w:r w:rsidRPr="00695140">
        <w:rPr>
          <w:color w:val="211F1F"/>
          <w:sz w:val="18"/>
        </w:rPr>
        <w:t>available</w:t>
      </w:r>
      <w:r>
        <w:rPr>
          <w:color w:val="211F1F"/>
          <w:sz w:val="18"/>
        </w:rPr>
        <w:t xml:space="preserve"> on the </w:t>
      </w:r>
      <w:r w:rsidRPr="00695140">
        <w:rPr>
          <w:color w:val="211F1F"/>
          <w:sz w:val="18"/>
        </w:rPr>
        <w:t>website</w:t>
      </w:r>
      <w:r>
        <w:rPr>
          <w:color w:val="211F1F"/>
          <w:sz w:val="18"/>
        </w:rPr>
        <w:t xml:space="preserve"> </w:t>
      </w:r>
      <w:r w:rsidRPr="00695140">
        <w:rPr>
          <w:color w:val="211F1F"/>
          <w:sz w:val="18"/>
        </w:rPr>
        <w:t>of</w:t>
      </w:r>
      <w:r>
        <w:rPr>
          <w:color w:val="211F1F"/>
          <w:sz w:val="18"/>
        </w:rPr>
        <w:t xml:space="preserve"> </w:t>
      </w:r>
      <w:r w:rsidRPr="00695140">
        <w:rPr>
          <w:color w:val="211F1F"/>
          <w:sz w:val="18"/>
        </w:rPr>
        <w:t>the</w:t>
      </w:r>
      <w:r>
        <w:rPr>
          <w:color w:val="211F1F"/>
          <w:sz w:val="18"/>
        </w:rPr>
        <w:t xml:space="preserve"> </w:t>
      </w:r>
      <w:r w:rsidRPr="00695140">
        <w:rPr>
          <w:color w:val="211F1F"/>
          <w:sz w:val="18"/>
        </w:rPr>
        <w:t>Company.</w:t>
      </w:r>
    </w:p>
    <w:p w:rsidR="00413513" w:rsidRPr="00695140" w:rsidRDefault="00413513" w:rsidP="00413513">
      <w:pPr>
        <w:pStyle w:val="ListParagraph"/>
        <w:numPr>
          <w:ilvl w:val="0"/>
          <w:numId w:val="1"/>
        </w:numPr>
        <w:tabs>
          <w:tab w:val="left" w:pos="510"/>
        </w:tabs>
        <w:spacing w:line="278" w:lineRule="auto"/>
        <w:ind w:right="50"/>
        <w:jc w:val="both"/>
        <w:rPr>
          <w:color w:val="211F1F"/>
          <w:sz w:val="18"/>
        </w:rPr>
      </w:pPr>
      <w:r w:rsidRPr="00695140">
        <w:rPr>
          <w:color w:val="211F1F"/>
          <w:sz w:val="18"/>
        </w:rPr>
        <w:t>For the convenience of Members and for proper conduct of the meeting, venue of the meeting will be regulated</w:t>
      </w:r>
      <w:r>
        <w:rPr>
          <w:color w:val="211F1F"/>
          <w:sz w:val="18"/>
        </w:rPr>
        <w:t xml:space="preserve"> </w:t>
      </w:r>
      <w:r w:rsidRPr="00695140">
        <w:rPr>
          <w:color w:val="211F1F"/>
          <w:sz w:val="18"/>
        </w:rPr>
        <w:t>by attendance</w:t>
      </w:r>
      <w:r>
        <w:rPr>
          <w:color w:val="211F1F"/>
          <w:sz w:val="18"/>
        </w:rPr>
        <w:t xml:space="preserve"> </w:t>
      </w:r>
      <w:r w:rsidRPr="00695140">
        <w:rPr>
          <w:color w:val="211F1F"/>
          <w:sz w:val="18"/>
        </w:rPr>
        <w:t>slip,</w:t>
      </w:r>
      <w:r>
        <w:rPr>
          <w:color w:val="211F1F"/>
          <w:sz w:val="18"/>
        </w:rPr>
        <w:t xml:space="preserve"> </w:t>
      </w:r>
      <w:r w:rsidRPr="00695140">
        <w:rPr>
          <w:color w:val="211F1F"/>
          <w:sz w:val="18"/>
        </w:rPr>
        <w:t>which</w:t>
      </w:r>
      <w:r>
        <w:rPr>
          <w:color w:val="211F1F"/>
          <w:sz w:val="18"/>
        </w:rPr>
        <w:t xml:space="preserve"> </w:t>
      </w:r>
      <w:r w:rsidRPr="00695140">
        <w:rPr>
          <w:color w:val="211F1F"/>
          <w:sz w:val="18"/>
        </w:rPr>
        <w:t>is</w:t>
      </w:r>
      <w:r>
        <w:rPr>
          <w:color w:val="211F1F"/>
          <w:sz w:val="18"/>
        </w:rPr>
        <w:t xml:space="preserve"> </w:t>
      </w:r>
      <w:r w:rsidRPr="00695140">
        <w:rPr>
          <w:color w:val="211F1F"/>
          <w:sz w:val="18"/>
        </w:rPr>
        <w:t>enclosed</w:t>
      </w:r>
      <w:r>
        <w:rPr>
          <w:color w:val="211F1F"/>
          <w:sz w:val="18"/>
        </w:rPr>
        <w:t xml:space="preserve"> </w:t>
      </w:r>
      <w:r w:rsidRPr="00695140">
        <w:rPr>
          <w:color w:val="211F1F"/>
          <w:sz w:val="18"/>
        </w:rPr>
        <w:t>with</w:t>
      </w:r>
      <w:r>
        <w:rPr>
          <w:color w:val="211F1F"/>
          <w:sz w:val="18"/>
        </w:rPr>
        <w:t xml:space="preserve"> </w:t>
      </w:r>
      <w:r w:rsidRPr="00695140">
        <w:rPr>
          <w:color w:val="211F1F"/>
          <w:sz w:val="18"/>
        </w:rPr>
        <w:t>the</w:t>
      </w:r>
      <w:r>
        <w:rPr>
          <w:color w:val="211F1F"/>
          <w:sz w:val="18"/>
        </w:rPr>
        <w:t xml:space="preserve"> </w:t>
      </w:r>
      <w:r w:rsidRPr="00695140">
        <w:rPr>
          <w:color w:val="211F1F"/>
          <w:sz w:val="18"/>
        </w:rPr>
        <w:t>Annual</w:t>
      </w:r>
      <w:r>
        <w:rPr>
          <w:color w:val="211F1F"/>
          <w:sz w:val="18"/>
        </w:rPr>
        <w:t xml:space="preserve"> </w:t>
      </w:r>
      <w:r w:rsidRPr="00695140">
        <w:rPr>
          <w:color w:val="211F1F"/>
          <w:sz w:val="18"/>
        </w:rPr>
        <w:t>Report. Members are requested to sign at the place provided on the attendance slip and hand it over at the entrance of the</w:t>
      </w:r>
      <w:r w:rsidR="00226B1C">
        <w:rPr>
          <w:color w:val="211F1F"/>
          <w:sz w:val="18"/>
        </w:rPr>
        <w:t xml:space="preserve"> </w:t>
      </w:r>
      <w:r w:rsidRPr="00695140">
        <w:rPr>
          <w:color w:val="211F1F"/>
          <w:sz w:val="18"/>
        </w:rPr>
        <w:t>venue.</w:t>
      </w:r>
    </w:p>
    <w:p w:rsidR="00413513" w:rsidRDefault="00413513" w:rsidP="00413513">
      <w:pPr>
        <w:pStyle w:val="BodyText"/>
        <w:spacing w:before="94" w:line="300" w:lineRule="auto"/>
      </w:pPr>
    </w:p>
    <w:p w:rsidR="00413513" w:rsidRDefault="00413513" w:rsidP="00413513">
      <w:pPr>
        <w:pStyle w:val="BodyText"/>
        <w:spacing w:before="94" w:line="300" w:lineRule="auto"/>
      </w:pPr>
    </w:p>
    <w:p w:rsidR="00413513" w:rsidRPr="00695140" w:rsidRDefault="00413513" w:rsidP="00413513">
      <w:pPr>
        <w:pStyle w:val="BodyText"/>
        <w:spacing w:before="94" w:line="300" w:lineRule="auto"/>
        <w:rPr>
          <w:color w:val="211F1F"/>
          <w:spacing w:val="1"/>
        </w:rPr>
      </w:pPr>
      <w:r w:rsidRPr="00695140">
        <w:br w:type="column"/>
      </w:r>
    </w:p>
    <w:p w:rsidR="00413513" w:rsidRPr="001C53E7" w:rsidRDefault="00413513" w:rsidP="00413513">
      <w:pPr>
        <w:pStyle w:val="ListParagraph"/>
        <w:tabs>
          <w:tab w:val="left" w:pos="510"/>
        </w:tabs>
        <w:spacing w:before="154" w:line="278" w:lineRule="auto"/>
        <w:ind w:left="360" w:right="121" w:firstLine="0"/>
        <w:rPr>
          <w:color w:val="211F1F"/>
          <w:sz w:val="18"/>
        </w:rPr>
      </w:pPr>
    </w:p>
    <w:p w:rsidR="00413513" w:rsidRPr="00A1233F" w:rsidRDefault="00413513" w:rsidP="00413513">
      <w:pPr>
        <w:tabs>
          <w:tab w:val="left" w:pos="510"/>
        </w:tabs>
        <w:spacing w:before="154" w:line="278" w:lineRule="auto"/>
        <w:ind w:right="121"/>
        <w:rPr>
          <w:color w:val="211F1F"/>
          <w:sz w:val="18"/>
        </w:rPr>
      </w:pPr>
    </w:p>
    <w:p w:rsidR="00413513" w:rsidRPr="00695140" w:rsidRDefault="00413513" w:rsidP="00413513">
      <w:pPr>
        <w:pStyle w:val="ListParagraph"/>
        <w:numPr>
          <w:ilvl w:val="0"/>
          <w:numId w:val="1"/>
        </w:numPr>
        <w:tabs>
          <w:tab w:val="left" w:pos="510"/>
        </w:tabs>
        <w:spacing w:line="278" w:lineRule="auto"/>
        <w:ind w:right="123"/>
        <w:jc w:val="both"/>
        <w:rPr>
          <w:color w:val="211F1F"/>
          <w:sz w:val="18"/>
        </w:rPr>
      </w:pPr>
      <w:r w:rsidRPr="007116F8">
        <w:rPr>
          <w:color w:val="211F1F"/>
          <w:spacing w:val="8"/>
          <w:sz w:val="18"/>
        </w:rPr>
        <w:t>Members</w:t>
      </w:r>
      <w:r w:rsidRPr="00695140">
        <w:rPr>
          <w:color w:val="211F1F"/>
          <w:spacing w:val="8"/>
          <w:sz w:val="18"/>
        </w:rPr>
        <w:t xml:space="preserve"> desiring </w:t>
      </w:r>
      <w:r w:rsidRPr="00695140">
        <w:rPr>
          <w:color w:val="211F1F"/>
          <w:spacing w:val="6"/>
          <w:sz w:val="18"/>
        </w:rPr>
        <w:t xml:space="preserve">any </w:t>
      </w:r>
      <w:r w:rsidRPr="00695140">
        <w:rPr>
          <w:color w:val="211F1F"/>
          <w:spacing w:val="9"/>
          <w:sz w:val="18"/>
        </w:rPr>
        <w:t xml:space="preserve">information </w:t>
      </w:r>
      <w:r w:rsidRPr="00695140">
        <w:rPr>
          <w:color w:val="211F1F"/>
          <w:spacing w:val="8"/>
          <w:sz w:val="18"/>
        </w:rPr>
        <w:t xml:space="preserve">relating </w:t>
      </w:r>
      <w:r w:rsidRPr="00695140">
        <w:rPr>
          <w:color w:val="211F1F"/>
          <w:spacing w:val="5"/>
          <w:sz w:val="18"/>
        </w:rPr>
        <w:t xml:space="preserve">to </w:t>
      </w:r>
      <w:r w:rsidRPr="00695140">
        <w:rPr>
          <w:color w:val="211F1F"/>
          <w:spacing w:val="10"/>
          <w:sz w:val="18"/>
        </w:rPr>
        <w:t xml:space="preserve">the </w:t>
      </w:r>
      <w:r w:rsidRPr="00695140">
        <w:rPr>
          <w:color w:val="211F1F"/>
          <w:sz w:val="18"/>
        </w:rPr>
        <w:t>accounts are requested to write to the Company at an early date so as to enable the arrangement to keep the information</w:t>
      </w:r>
      <w:r>
        <w:rPr>
          <w:color w:val="211F1F"/>
          <w:sz w:val="18"/>
        </w:rPr>
        <w:t xml:space="preserve"> </w:t>
      </w:r>
      <w:r w:rsidRPr="00695140">
        <w:rPr>
          <w:color w:val="211F1F"/>
          <w:sz w:val="18"/>
        </w:rPr>
        <w:t>ready.</w:t>
      </w:r>
    </w:p>
    <w:p w:rsidR="00413513" w:rsidRPr="007116F8" w:rsidRDefault="00413513" w:rsidP="00413513">
      <w:pPr>
        <w:pStyle w:val="ListParagraph"/>
        <w:numPr>
          <w:ilvl w:val="0"/>
          <w:numId w:val="1"/>
        </w:numPr>
        <w:tabs>
          <w:tab w:val="left" w:pos="510"/>
        </w:tabs>
        <w:spacing w:before="143" w:line="278" w:lineRule="auto"/>
        <w:ind w:right="115"/>
        <w:jc w:val="both"/>
        <w:rPr>
          <w:color w:val="211F1F"/>
          <w:sz w:val="18"/>
        </w:rPr>
      </w:pPr>
      <w:r w:rsidRPr="007116F8">
        <w:rPr>
          <w:color w:val="211F1F"/>
          <w:sz w:val="18"/>
        </w:rPr>
        <w:t>As</w:t>
      </w:r>
      <w:r>
        <w:rPr>
          <w:color w:val="211F1F"/>
          <w:sz w:val="18"/>
        </w:rPr>
        <w:t xml:space="preserve"> </w:t>
      </w:r>
      <w:r w:rsidRPr="007116F8">
        <w:rPr>
          <w:color w:val="211F1F"/>
          <w:sz w:val="18"/>
        </w:rPr>
        <w:t>per</w:t>
      </w:r>
      <w:r>
        <w:rPr>
          <w:color w:val="211F1F"/>
          <w:sz w:val="18"/>
        </w:rPr>
        <w:t xml:space="preserve"> </w:t>
      </w:r>
      <w:r w:rsidRPr="007116F8">
        <w:rPr>
          <w:color w:val="211F1F"/>
          <w:sz w:val="18"/>
        </w:rPr>
        <w:t>Notification</w:t>
      </w:r>
      <w:r>
        <w:rPr>
          <w:color w:val="211F1F"/>
          <w:sz w:val="18"/>
        </w:rPr>
        <w:t xml:space="preserve"> </w:t>
      </w:r>
      <w:r w:rsidRPr="007116F8">
        <w:rPr>
          <w:color w:val="211F1F"/>
          <w:sz w:val="18"/>
        </w:rPr>
        <w:t>issued</w:t>
      </w:r>
      <w:r>
        <w:rPr>
          <w:color w:val="211F1F"/>
          <w:sz w:val="18"/>
        </w:rPr>
        <w:t xml:space="preserve"> </w:t>
      </w:r>
      <w:r w:rsidRPr="007116F8">
        <w:rPr>
          <w:color w:val="211F1F"/>
          <w:sz w:val="18"/>
        </w:rPr>
        <w:t>by</w:t>
      </w:r>
      <w:r>
        <w:rPr>
          <w:color w:val="211F1F"/>
          <w:sz w:val="18"/>
        </w:rPr>
        <w:t xml:space="preserve"> </w:t>
      </w:r>
      <w:r w:rsidRPr="007116F8">
        <w:rPr>
          <w:color w:val="211F1F"/>
          <w:sz w:val="18"/>
        </w:rPr>
        <w:t>Ministry</w:t>
      </w:r>
      <w:r>
        <w:rPr>
          <w:color w:val="211F1F"/>
          <w:sz w:val="18"/>
        </w:rPr>
        <w:t xml:space="preserve"> </w:t>
      </w:r>
      <w:r w:rsidRPr="007116F8">
        <w:rPr>
          <w:color w:val="211F1F"/>
          <w:sz w:val="18"/>
        </w:rPr>
        <w:t>of</w:t>
      </w:r>
      <w:r>
        <w:rPr>
          <w:color w:val="211F1F"/>
          <w:sz w:val="18"/>
        </w:rPr>
        <w:t xml:space="preserve"> </w:t>
      </w:r>
      <w:r w:rsidRPr="007116F8">
        <w:rPr>
          <w:color w:val="211F1F"/>
          <w:sz w:val="18"/>
        </w:rPr>
        <w:t>Corporate</w:t>
      </w:r>
      <w:r>
        <w:rPr>
          <w:color w:val="211F1F"/>
          <w:sz w:val="18"/>
        </w:rPr>
        <w:t xml:space="preserve"> </w:t>
      </w:r>
      <w:r w:rsidRPr="007116F8">
        <w:rPr>
          <w:color w:val="211F1F"/>
          <w:sz w:val="18"/>
        </w:rPr>
        <w:t xml:space="preserve">Affairs </w:t>
      </w:r>
      <w:r w:rsidRPr="007116F8">
        <w:rPr>
          <w:color w:val="211F1F"/>
          <w:spacing w:val="9"/>
          <w:sz w:val="18"/>
        </w:rPr>
        <w:t xml:space="preserve">dated </w:t>
      </w:r>
      <w:r w:rsidRPr="007116F8">
        <w:rPr>
          <w:color w:val="211F1F"/>
          <w:spacing w:val="8"/>
          <w:sz w:val="18"/>
        </w:rPr>
        <w:t>19</w:t>
      </w:r>
      <w:r w:rsidRPr="007116F8">
        <w:rPr>
          <w:color w:val="211F1F"/>
          <w:spacing w:val="8"/>
          <w:position w:val="6"/>
          <w:sz w:val="10"/>
        </w:rPr>
        <w:t>th</w:t>
      </w:r>
      <w:r w:rsidRPr="007116F8">
        <w:rPr>
          <w:color w:val="211F1F"/>
          <w:spacing w:val="6"/>
          <w:sz w:val="18"/>
        </w:rPr>
        <w:t xml:space="preserve">of </w:t>
      </w:r>
      <w:r w:rsidRPr="007116F8">
        <w:rPr>
          <w:color w:val="211F1F"/>
          <w:spacing w:val="10"/>
          <w:sz w:val="18"/>
        </w:rPr>
        <w:t xml:space="preserve">March, </w:t>
      </w:r>
      <w:r w:rsidRPr="007116F8">
        <w:rPr>
          <w:color w:val="211F1F"/>
          <w:spacing w:val="9"/>
          <w:sz w:val="18"/>
        </w:rPr>
        <w:t xml:space="preserve">2015 with </w:t>
      </w:r>
      <w:r w:rsidRPr="007116F8">
        <w:rPr>
          <w:color w:val="211F1F"/>
          <w:spacing w:val="10"/>
          <w:sz w:val="18"/>
        </w:rPr>
        <w:t xml:space="preserve">reference </w:t>
      </w:r>
      <w:r w:rsidRPr="007116F8">
        <w:rPr>
          <w:color w:val="211F1F"/>
          <w:spacing w:val="6"/>
          <w:sz w:val="18"/>
        </w:rPr>
        <w:t xml:space="preserve">to </w:t>
      </w:r>
      <w:r w:rsidRPr="007116F8">
        <w:rPr>
          <w:color w:val="211F1F"/>
          <w:spacing w:val="12"/>
          <w:sz w:val="18"/>
        </w:rPr>
        <w:t xml:space="preserve">the </w:t>
      </w:r>
      <w:r w:rsidRPr="007116F8">
        <w:rPr>
          <w:color w:val="211F1F"/>
          <w:spacing w:val="2"/>
          <w:sz w:val="18"/>
        </w:rPr>
        <w:t xml:space="preserve">Companies (Management </w:t>
      </w:r>
      <w:r w:rsidRPr="007116F8">
        <w:rPr>
          <w:color w:val="211F1F"/>
          <w:sz w:val="18"/>
        </w:rPr>
        <w:t xml:space="preserve">and </w:t>
      </w:r>
      <w:r w:rsidRPr="007116F8">
        <w:rPr>
          <w:color w:val="211F1F"/>
          <w:spacing w:val="2"/>
          <w:sz w:val="18"/>
        </w:rPr>
        <w:t xml:space="preserve">Administration) </w:t>
      </w:r>
      <w:r w:rsidRPr="007116F8">
        <w:rPr>
          <w:color w:val="211F1F"/>
          <w:spacing w:val="3"/>
          <w:sz w:val="18"/>
        </w:rPr>
        <w:t xml:space="preserve">Rules, </w:t>
      </w:r>
      <w:r w:rsidRPr="007116F8">
        <w:rPr>
          <w:color w:val="211F1F"/>
          <w:spacing w:val="7"/>
          <w:sz w:val="18"/>
        </w:rPr>
        <w:t xml:space="preserve">2014, </w:t>
      </w:r>
      <w:r w:rsidRPr="007116F8">
        <w:rPr>
          <w:color w:val="211F1F"/>
          <w:spacing w:val="8"/>
          <w:sz w:val="18"/>
        </w:rPr>
        <w:t xml:space="preserve">Companies </w:t>
      </w:r>
      <w:r w:rsidRPr="007116F8">
        <w:rPr>
          <w:color w:val="211F1F"/>
          <w:spacing w:val="7"/>
          <w:sz w:val="18"/>
        </w:rPr>
        <w:t xml:space="preserve">covered under Chapter </w:t>
      </w:r>
      <w:r w:rsidRPr="007116F8">
        <w:rPr>
          <w:color w:val="211F1F"/>
          <w:spacing w:val="4"/>
          <w:sz w:val="18"/>
        </w:rPr>
        <w:t xml:space="preserve">XB </w:t>
      </w:r>
      <w:r w:rsidRPr="007116F8">
        <w:rPr>
          <w:color w:val="211F1F"/>
          <w:spacing w:val="9"/>
          <w:sz w:val="18"/>
        </w:rPr>
        <w:t xml:space="preserve">and </w:t>
      </w:r>
      <w:r w:rsidRPr="007116F8">
        <w:rPr>
          <w:color w:val="211F1F"/>
          <w:spacing w:val="5"/>
          <w:sz w:val="18"/>
        </w:rPr>
        <w:t xml:space="preserve">Chapter </w:t>
      </w:r>
      <w:r w:rsidRPr="007116F8">
        <w:rPr>
          <w:color w:val="211F1F"/>
          <w:spacing w:val="3"/>
          <w:sz w:val="18"/>
        </w:rPr>
        <w:t xml:space="preserve">XC of </w:t>
      </w:r>
      <w:r w:rsidRPr="007116F8">
        <w:rPr>
          <w:color w:val="211F1F"/>
          <w:spacing w:val="4"/>
          <w:sz w:val="18"/>
        </w:rPr>
        <w:t xml:space="preserve">SEBI </w:t>
      </w:r>
      <w:r w:rsidRPr="007116F8">
        <w:rPr>
          <w:color w:val="211F1F"/>
          <w:spacing w:val="5"/>
          <w:sz w:val="18"/>
        </w:rPr>
        <w:t xml:space="preserve">(ICDR) Regulations, </w:t>
      </w:r>
      <w:r w:rsidRPr="007116F8">
        <w:rPr>
          <w:color w:val="211F1F"/>
          <w:spacing w:val="4"/>
          <w:sz w:val="18"/>
        </w:rPr>
        <w:t xml:space="preserve">2009 </w:t>
      </w:r>
      <w:r w:rsidRPr="007116F8">
        <w:rPr>
          <w:color w:val="211F1F"/>
          <w:spacing w:val="6"/>
          <w:sz w:val="18"/>
        </w:rPr>
        <w:t xml:space="preserve">are </w:t>
      </w:r>
      <w:r w:rsidRPr="007116F8">
        <w:rPr>
          <w:color w:val="211F1F"/>
          <w:spacing w:val="7"/>
          <w:sz w:val="18"/>
        </w:rPr>
        <w:t xml:space="preserve">exempted </w:t>
      </w:r>
      <w:r w:rsidRPr="007116F8">
        <w:rPr>
          <w:color w:val="211F1F"/>
          <w:spacing w:val="6"/>
          <w:sz w:val="18"/>
        </w:rPr>
        <w:t xml:space="preserve">from E-Voting </w:t>
      </w:r>
      <w:r w:rsidRPr="007116F8">
        <w:rPr>
          <w:color w:val="211F1F"/>
          <w:spacing w:val="7"/>
          <w:sz w:val="18"/>
        </w:rPr>
        <w:t xml:space="preserve">provisions. </w:t>
      </w:r>
      <w:r w:rsidRPr="007116F8">
        <w:rPr>
          <w:color w:val="211F1F"/>
          <w:spacing w:val="6"/>
          <w:sz w:val="18"/>
        </w:rPr>
        <w:t xml:space="preserve">Also, </w:t>
      </w:r>
      <w:r w:rsidRPr="007116F8">
        <w:rPr>
          <w:color w:val="211F1F"/>
          <w:spacing w:val="4"/>
          <w:sz w:val="18"/>
        </w:rPr>
        <w:t xml:space="preserve">no </w:t>
      </w:r>
      <w:r w:rsidRPr="007116F8">
        <w:rPr>
          <w:color w:val="211F1F"/>
          <w:spacing w:val="8"/>
          <w:sz w:val="18"/>
        </w:rPr>
        <w:t xml:space="preserve">such </w:t>
      </w:r>
      <w:r w:rsidRPr="007116F8">
        <w:rPr>
          <w:color w:val="211F1F"/>
          <w:sz w:val="18"/>
        </w:rPr>
        <w:t xml:space="preserve">provision is available in SME Equity Listing Agreement. Company is covered under Chapter XB as it is a SME Company and listed on SME platform of BSE Limited. Therefore Company is providing postal ballot facility to </w:t>
      </w:r>
      <w:r w:rsidRPr="007116F8">
        <w:rPr>
          <w:color w:val="211F1F"/>
          <w:spacing w:val="2"/>
          <w:sz w:val="18"/>
        </w:rPr>
        <w:t>its</w:t>
      </w:r>
      <w:r>
        <w:rPr>
          <w:color w:val="211F1F"/>
          <w:spacing w:val="2"/>
          <w:sz w:val="18"/>
        </w:rPr>
        <w:t xml:space="preserve"> </w:t>
      </w:r>
      <w:r w:rsidRPr="007116F8">
        <w:rPr>
          <w:color w:val="211F1F"/>
          <w:spacing w:val="5"/>
          <w:sz w:val="18"/>
        </w:rPr>
        <w:t>shareholders.</w:t>
      </w:r>
    </w:p>
    <w:p w:rsidR="00413513" w:rsidRDefault="00413513" w:rsidP="00413513">
      <w:pPr>
        <w:pStyle w:val="ListParagraph"/>
        <w:numPr>
          <w:ilvl w:val="0"/>
          <w:numId w:val="1"/>
        </w:numPr>
        <w:tabs>
          <w:tab w:val="left" w:pos="510"/>
        </w:tabs>
        <w:spacing w:before="143" w:line="278" w:lineRule="auto"/>
        <w:ind w:right="127"/>
        <w:jc w:val="both"/>
        <w:rPr>
          <w:color w:val="211F1F"/>
          <w:sz w:val="18"/>
        </w:rPr>
      </w:pPr>
      <w:r>
        <w:rPr>
          <w:color w:val="211F1F"/>
          <w:spacing w:val="4"/>
          <w:sz w:val="18"/>
        </w:rPr>
        <w:t xml:space="preserve">Members </w:t>
      </w:r>
      <w:r>
        <w:rPr>
          <w:color w:val="211F1F"/>
          <w:spacing w:val="3"/>
          <w:sz w:val="18"/>
        </w:rPr>
        <w:t xml:space="preserve">are </w:t>
      </w:r>
      <w:r>
        <w:rPr>
          <w:color w:val="211F1F"/>
          <w:spacing w:val="4"/>
          <w:sz w:val="18"/>
        </w:rPr>
        <w:t xml:space="preserve">requested </w:t>
      </w:r>
      <w:r>
        <w:rPr>
          <w:color w:val="211F1F"/>
          <w:spacing w:val="2"/>
          <w:sz w:val="18"/>
        </w:rPr>
        <w:t xml:space="preserve">to </w:t>
      </w:r>
      <w:r>
        <w:rPr>
          <w:color w:val="211F1F"/>
          <w:spacing w:val="4"/>
          <w:sz w:val="18"/>
        </w:rPr>
        <w:t xml:space="preserve">bring their copies </w:t>
      </w:r>
      <w:r>
        <w:rPr>
          <w:color w:val="211F1F"/>
          <w:spacing w:val="2"/>
          <w:sz w:val="18"/>
        </w:rPr>
        <w:t xml:space="preserve">of </w:t>
      </w:r>
      <w:r>
        <w:rPr>
          <w:color w:val="211F1F"/>
          <w:spacing w:val="5"/>
          <w:sz w:val="18"/>
        </w:rPr>
        <w:t xml:space="preserve">the </w:t>
      </w:r>
      <w:r>
        <w:rPr>
          <w:color w:val="211F1F"/>
          <w:sz w:val="18"/>
        </w:rPr>
        <w:t>Annual Report to the Meeting.</w:t>
      </w:r>
    </w:p>
    <w:p w:rsidR="00413513" w:rsidRDefault="00413513" w:rsidP="00413513">
      <w:pPr>
        <w:pStyle w:val="BodyText"/>
        <w:numPr>
          <w:ilvl w:val="0"/>
          <w:numId w:val="1"/>
        </w:numPr>
        <w:spacing w:before="94" w:line="278" w:lineRule="auto"/>
        <w:jc w:val="both"/>
      </w:pPr>
      <w:r>
        <w:rPr>
          <w:color w:val="211F1F"/>
        </w:rPr>
        <w:t xml:space="preserve">The </w:t>
      </w:r>
      <w:r>
        <w:rPr>
          <w:color w:val="211F1F"/>
          <w:spacing w:val="2"/>
        </w:rPr>
        <w:t xml:space="preserve">Ministry </w:t>
      </w:r>
      <w:r>
        <w:rPr>
          <w:color w:val="211F1F"/>
        </w:rPr>
        <w:t xml:space="preserve">of </w:t>
      </w:r>
      <w:r>
        <w:rPr>
          <w:color w:val="211F1F"/>
          <w:spacing w:val="2"/>
        </w:rPr>
        <w:t xml:space="preserve">Corporate </w:t>
      </w:r>
      <w:r>
        <w:rPr>
          <w:color w:val="211F1F"/>
        </w:rPr>
        <w:t xml:space="preserve">Affairs has </w:t>
      </w:r>
      <w:r>
        <w:rPr>
          <w:color w:val="211F1F"/>
          <w:spacing w:val="2"/>
        </w:rPr>
        <w:t xml:space="preserve">taken </w:t>
      </w:r>
      <w:r>
        <w:rPr>
          <w:color w:val="211F1F"/>
        </w:rPr>
        <w:t xml:space="preserve">a </w:t>
      </w:r>
      <w:r>
        <w:rPr>
          <w:color w:val="211F1F"/>
          <w:spacing w:val="3"/>
        </w:rPr>
        <w:t xml:space="preserve">Green </w:t>
      </w:r>
      <w:r>
        <w:rPr>
          <w:color w:val="211F1F"/>
        </w:rPr>
        <w:t xml:space="preserve">Initiative in Corporate Governance by issuing circulars allowing paperless compliances by companies through electronic mode. Further, as per recent circular issued by the Securities Exchange Board of India (SEBI) and consequent changes in the listing agreement, Companies can send Annual Report in electronic mode to Members </w:t>
      </w:r>
      <w:r>
        <w:rPr>
          <w:color w:val="211F1F"/>
          <w:spacing w:val="6"/>
        </w:rPr>
        <w:t xml:space="preserve">who </w:t>
      </w:r>
      <w:r>
        <w:rPr>
          <w:color w:val="211F1F"/>
          <w:spacing w:val="7"/>
        </w:rPr>
        <w:t xml:space="preserve">have </w:t>
      </w:r>
      <w:r>
        <w:rPr>
          <w:color w:val="211F1F"/>
          <w:spacing w:val="9"/>
        </w:rPr>
        <w:t xml:space="preserve">registered </w:t>
      </w:r>
      <w:r>
        <w:rPr>
          <w:color w:val="211F1F"/>
          <w:spacing w:val="8"/>
        </w:rPr>
        <w:t xml:space="preserve">their e-mail address </w:t>
      </w:r>
      <w:r>
        <w:rPr>
          <w:color w:val="211F1F"/>
          <w:spacing w:val="6"/>
        </w:rPr>
        <w:t xml:space="preserve">for </w:t>
      </w:r>
      <w:r>
        <w:rPr>
          <w:color w:val="211F1F"/>
          <w:spacing w:val="10"/>
        </w:rPr>
        <w:t xml:space="preserve">the </w:t>
      </w:r>
      <w:r>
        <w:rPr>
          <w:color w:val="211F1F"/>
          <w:spacing w:val="4"/>
        </w:rPr>
        <w:t xml:space="preserve">purpose. </w:t>
      </w:r>
      <w:r>
        <w:rPr>
          <w:color w:val="211F1F"/>
          <w:spacing w:val="3"/>
        </w:rPr>
        <w:t xml:space="preserve">The </w:t>
      </w:r>
      <w:r>
        <w:rPr>
          <w:color w:val="211F1F"/>
          <w:spacing w:val="4"/>
        </w:rPr>
        <w:t xml:space="preserve">Members holding shares </w:t>
      </w:r>
      <w:r>
        <w:rPr>
          <w:color w:val="211F1F"/>
          <w:spacing w:val="2"/>
        </w:rPr>
        <w:t xml:space="preserve">in </w:t>
      </w:r>
      <w:r>
        <w:rPr>
          <w:color w:val="211F1F"/>
          <w:spacing w:val="5"/>
        </w:rPr>
        <w:t xml:space="preserve">electronic </w:t>
      </w:r>
      <w:r>
        <w:rPr>
          <w:color w:val="211F1F"/>
        </w:rPr>
        <w:t xml:space="preserve">form are requested to register their e-mail address with their respective Depository Participant(DP).Accordingly, the company is sending the electronic copy of Annual </w:t>
      </w:r>
      <w:r>
        <w:rPr>
          <w:color w:val="211F1F"/>
          <w:spacing w:val="10"/>
        </w:rPr>
        <w:t xml:space="preserve">Report </w:t>
      </w:r>
      <w:r>
        <w:rPr>
          <w:color w:val="211F1F"/>
          <w:spacing w:val="6"/>
        </w:rPr>
        <w:t xml:space="preserve">to </w:t>
      </w:r>
      <w:r>
        <w:rPr>
          <w:color w:val="211F1F"/>
          <w:spacing w:val="8"/>
        </w:rPr>
        <w:t xml:space="preserve">the </w:t>
      </w:r>
      <w:r>
        <w:rPr>
          <w:color w:val="211F1F"/>
          <w:spacing w:val="11"/>
        </w:rPr>
        <w:t xml:space="preserve">shareholders </w:t>
      </w:r>
      <w:r>
        <w:rPr>
          <w:color w:val="211F1F"/>
          <w:spacing w:val="10"/>
        </w:rPr>
        <w:t xml:space="preserve">whose </w:t>
      </w:r>
      <w:r>
        <w:rPr>
          <w:color w:val="211F1F"/>
          <w:spacing w:val="11"/>
        </w:rPr>
        <w:t xml:space="preserve">email-id </w:t>
      </w:r>
      <w:r>
        <w:rPr>
          <w:color w:val="211F1F"/>
          <w:spacing w:val="13"/>
        </w:rPr>
        <w:t xml:space="preserve">are </w:t>
      </w:r>
      <w:r>
        <w:rPr>
          <w:color w:val="211F1F"/>
          <w:spacing w:val="8"/>
        </w:rPr>
        <w:t xml:space="preserve">registered </w:t>
      </w:r>
      <w:r>
        <w:rPr>
          <w:color w:val="211F1F"/>
          <w:spacing w:val="6"/>
        </w:rPr>
        <w:t xml:space="preserve">with </w:t>
      </w:r>
      <w:r>
        <w:rPr>
          <w:color w:val="211F1F"/>
          <w:spacing w:val="7"/>
        </w:rPr>
        <w:t xml:space="preserve">their </w:t>
      </w:r>
      <w:r>
        <w:rPr>
          <w:color w:val="211F1F"/>
          <w:spacing w:val="8"/>
        </w:rPr>
        <w:t xml:space="preserve">respective </w:t>
      </w:r>
      <w:r>
        <w:rPr>
          <w:color w:val="211F1F"/>
        </w:rPr>
        <w:t xml:space="preserve">DP. </w:t>
      </w:r>
      <w:r>
        <w:rPr>
          <w:color w:val="211F1F"/>
          <w:spacing w:val="6"/>
        </w:rPr>
        <w:t xml:space="preserve">However, </w:t>
      </w:r>
      <w:r>
        <w:rPr>
          <w:color w:val="211F1F"/>
          <w:spacing w:val="9"/>
        </w:rPr>
        <w:t xml:space="preserve">any </w:t>
      </w:r>
      <w:r>
        <w:rPr>
          <w:color w:val="211F1F"/>
        </w:rPr>
        <w:t xml:space="preserve">member seeking to have hard copy of the Annual Report </w:t>
      </w:r>
      <w:r>
        <w:rPr>
          <w:color w:val="211F1F"/>
          <w:spacing w:val="2"/>
        </w:rPr>
        <w:t xml:space="preserve">may </w:t>
      </w:r>
      <w:r>
        <w:rPr>
          <w:color w:val="211F1F"/>
          <w:spacing w:val="3"/>
        </w:rPr>
        <w:t xml:space="preserve">send their request </w:t>
      </w:r>
      <w:r>
        <w:rPr>
          <w:color w:val="211F1F"/>
        </w:rPr>
        <w:t xml:space="preserve">to </w:t>
      </w:r>
      <w:r>
        <w:rPr>
          <w:color w:val="211F1F"/>
          <w:spacing w:val="2"/>
        </w:rPr>
        <w:t xml:space="preserve">the </w:t>
      </w:r>
      <w:r>
        <w:rPr>
          <w:color w:val="211F1F"/>
          <w:spacing w:val="3"/>
        </w:rPr>
        <w:t xml:space="preserve">designated mail </w:t>
      </w:r>
      <w:r>
        <w:rPr>
          <w:color w:val="211F1F"/>
        </w:rPr>
        <w:t xml:space="preserve">id </w:t>
      </w:r>
      <w:r>
        <w:rPr>
          <w:color w:val="211F1F"/>
          <w:spacing w:val="4"/>
        </w:rPr>
        <w:t xml:space="preserve">of </w:t>
      </w:r>
      <w:r>
        <w:rPr>
          <w:color w:val="211F1F"/>
        </w:rPr>
        <w:t>Company Secretary to have the same.</w:t>
      </w:r>
    </w:p>
    <w:p w:rsidR="00413513" w:rsidRDefault="00413513" w:rsidP="00413513">
      <w:pPr>
        <w:pStyle w:val="ListParagraph"/>
        <w:tabs>
          <w:tab w:val="left" w:pos="510"/>
        </w:tabs>
        <w:spacing w:line="278" w:lineRule="auto"/>
        <w:ind w:left="360" w:right="122" w:firstLine="0"/>
        <w:rPr>
          <w:color w:val="211F1F"/>
          <w:spacing w:val="2"/>
          <w:sz w:val="18"/>
        </w:rPr>
      </w:pPr>
    </w:p>
    <w:p w:rsidR="00413513" w:rsidRPr="006D5D8E" w:rsidRDefault="00413513" w:rsidP="00413513">
      <w:pPr>
        <w:pStyle w:val="ListParagraph"/>
        <w:numPr>
          <w:ilvl w:val="0"/>
          <w:numId w:val="3"/>
        </w:numPr>
        <w:spacing w:before="120" w:line="278" w:lineRule="auto"/>
        <w:jc w:val="both"/>
        <w:rPr>
          <w:sz w:val="18"/>
        </w:rPr>
      </w:pPr>
      <w:r w:rsidRPr="0083132D">
        <w:rPr>
          <w:color w:val="211F1F"/>
          <w:sz w:val="18"/>
        </w:rPr>
        <w:t xml:space="preserve">All documents referred to in the Notice are open </w:t>
      </w:r>
      <w:r w:rsidRPr="0083132D">
        <w:rPr>
          <w:color w:val="211F1F"/>
          <w:spacing w:val="2"/>
          <w:sz w:val="18"/>
        </w:rPr>
        <w:t xml:space="preserve">for  </w:t>
      </w:r>
      <w:r w:rsidRPr="0083132D">
        <w:rPr>
          <w:color w:val="211F1F"/>
          <w:sz w:val="18"/>
        </w:rPr>
        <w:t>inspection</w:t>
      </w:r>
      <w:r>
        <w:rPr>
          <w:color w:val="211F1F"/>
          <w:sz w:val="18"/>
        </w:rPr>
        <w:t xml:space="preserve"> </w:t>
      </w:r>
      <w:r w:rsidRPr="0083132D">
        <w:rPr>
          <w:color w:val="211F1F"/>
          <w:sz w:val="18"/>
        </w:rPr>
        <w:t>at</w:t>
      </w:r>
      <w:r>
        <w:rPr>
          <w:color w:val="211F1F"/>
          <w:sz w:val="18"/>
        </w:rPr>
        <w:t xml:space="preserve"> </w:t>
      </w:r>
      <w:r w:rsidRPr="0083132D">
        <w:rPr>
          <w:color w:val="211F1F"/>
          <w:sz w:val="18"/>
        </w:rPr>
        <w:t>the</w:t>
      </w:r>
      <w:r>
        <w:rPr>
          <w:color w:val="211F1F"/>
          <w:sz w:val="18"/>
        </w:rPr>
        <w:t xml:space="preserve"> </w:t>
      </w:r>
      <w:r w:rsidRPr="0083132D">
        <w:rPr>
          <w:color w:val="211F1F"/>
          <w:sz w:val="18"/>
        </w:rPr>
        <w:t>Registered</w:t>
      </w:r>
      <w:r>
        <w:rPr>
          <w:color w:val="211F1F"/>
          <w:sz w:val="18"/>
        </w:rPr>
        <w:t xml:space="preserve"> </w:t>
      </w:r>
      <w:r w:rsidRPr="0083132D">
        <w:rPr>
          <w:color w:val="211F1F"/>
          <w:sz w:val="18"/>
        </w:rPr>
        <w:t>Office</w:t>
      </w:r>
      <w:r>
        <w:rPr>
          <w:color w:val="211F1F"/>
          <w:sz w:val="18"/>
        </w:rPr>
        <w:t xml:space="preserve"> </w:t>
      </w:r>
      <w:r w:rsidRPr="0083132D">
        <w:rPr>
          <w:color w:val="211F1F"/>
          <w:sz w:val="18"/>
        </w:rPr>
        <w:t>of</w:t>
      </w:r>
      <w:r>
        <w:rPr>
          <w:color w:val="211F1F"/>
          <w:sz w:val="18"/>
        </w:rPr>
        <w:t xml:space="preserve"> </w:t>
      </w:r>
      <w:r w:rsidRPr="0083132D">
        <w:rPr>
          <w:color w:val="211F1F"/>
          <w:sz w:val="18"/>
        </w:rPr>
        <w:t>the</w:t>
      </w:r>
      <w:r>
        <w:rPr>
          <w:color w:val="211F1F"/>
          <w:sz w:val="18"/>
        </w:rPr>
        <w:t xml:space="preserve"> </w:t>
      </w:r>
      <w:r w:rsidRPr="0083132D">
        <w:rPr>
          <w:color w:val="211F1F"/>
          <w:sz w:val="18"/>
        </w:rPr>
        <w:t>Company</w:t>
      </w:r>
      <w:r>
        <w:rPr>
          <w:color w:val="211F1F"/>
          <w:sz w:val="18"/>
        </w:rPr>
        <w:t xml:space="preserve"> </w:t>
      </w:r>
      <w:r w:rsidRPr="0083132D">
        <w:rPr>
          <w:color w:val="211F1F"/>
          <w:sz w:val="18"/>
        </w:rPr>
        <w:t>during office hours on all working da</w:t>
      </w:r>
      <w:r>
        <w:rPr>
          <w:color w:val="211F1F"/>
          <w:sz w:val="18"/>
        </w:rPr>
        <w:t>ys up to the date of the Annual General Meeting</w:t>
      </w:r>
    </w:p>
    <w:p w:rsidR="00413513" w:rsidRPr="0083132D" w:rsidRDefault="00413513" w:rsidP="00413513">
      <w:pPr>
        <w:pStyle w:val="ListParagraph"/>
        <w:numPr>
          <w:ilvl w:val="0"/>
          <w:numId w:val="4"/>
        </w:numPr>
        <w:spacing w:before="120" w:line="278" w:lineRule="auto"/>
        <w:rPr>
          <w:sz w:val="18"/>
        </w:rPr>
        <w:sectPr w:rsidR="00413513" w:rsidRPr="0083132D" w:rsidSect="00A00C1B">
          <w:type w:val="continuous"/>
          <w:pgSz w:w="11900" w:h="16840"/>
          <w:pgMar w:top="0" w:right="780" w:bottom="0" w:left="76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equalWidth="0">
            <w:col w:w="5062" w:space="155"/>
            <w:col w:w="5143"/>
          </w:cols>
        </w:sectPr>
      </w:pPr>
      <w:r>
        <w:rPr>
          <w:color w:val="211F1F"/>
          <w:sz w:val="18"/>
        </w:rPr>
        <w:t>Members and/or proxies are requested to bring with them the attendance slip and hand it over at the entry gate.</w:t>
      </w:r>
    </w:p>
    <w:p w:rsidR="00413513" w:rsidRPr="00317358" w:rsidRDefault="00413513" w:rsidP="00413513">
      <w:pPr>
        <w:pStyle w:val="05FormNumber"/>
      </w:pPr>
      <w:r w:rsidRPr="00317358">
        <w:lastRenderedPageBreak/>
        <w:t xml:space="preserve">FORM NO. </w:t>
      </w:r>
      <w:r w:rsidRPr="00F96491">
        <w:rPr>
          <w:rStyle w:val="06FormNumberforHeader"/>
          <w:rFonts w:eastAsia="Arial"/>
        </w:rPr>
        <w:t>MGT.</w:t>
      </w:r>
      <w:r w:rsidRPr="009B07B6">
        <w:rPr>
          <w:rStyle w:val="06FormNumberforHeader"/>
          <w:rFonts w:eastAsia="Arial"/>
        </w:rPr>
        <w:t>12</w:t>
      </w:r>
    </w:p>
    <w:p w:rsidR="00413513" w:rsidRPr="00DE1931" w:rsidRDefault="00413513" w:rsidP="00413513">
      <w:pPr>
        <w:pStyle w:val="TableParagraph"/>
        <w:tabs>
          <w:tab w:val="left" w:pos="4321"/>
        </w:tabs>
        <w:kinsoku w:val="0"/>
        <w:overflowPunct w:val="0"/>
        <w:spacing w:before="40" w:after="40" w:line="233" w:lineRule="auto"/>
        <w:jc w:val="center"/>
        <w:rPr>
          <w:rFonts w:ascii="Book Antiqua" w:hAnsi="Book Antiqua" w:cs="Verdana"/>
          <w:b/>
          <w:bCs/>
          <w:color w:val="231F20"/>
          <w:sz w:val="20"/>
          <w:szCs w:val="20"/>
        </w:rPr>
      </w:pPr>
      <w:r w:rsidRPr="00DE1931">
        <w:rPr>
          <w:rFonts w:ascii="Book Antiqua" w:hAnsi="Book Antiqua" w:cs="Verdana"/>
          <w:b/>
          <w:bCs/>
          <w:color w:val="231F20"/>
          <w:sz w:val="20"/>
          <w:szCs w:val="20"/>
        </w:rPr>
        <w:t>Polling Paper</w:t>
      </w:r>
    </w:p>
    <w:p w:rsidR="00413513" w:rsidRPr="00DE1931" w:rsidRDefault="00413513" w:rsidP="00413513">
      <w:pPr>
        <w:pStyle w:val="TableParagraph"/>
        <w:tabs>
          <w:tab w:val="left" w:pos="4321"/>
        </w:tabs>
        <w:kinsoku w:val="0"/>
        <w:overflowPunct w:val="0"/>
        <w:spacing w:before="40" w:after="40" w:line="233" w:lineRule="auto"/>
        <w:jc w:val="center"/>
        <w:rPr>
          <w:rFonts w:ascii="Book Antiqua" w:hAnsi="Book Antiqua" w:cs="Verdana"/>
          <w:b/>
          <w:bCs/>
          <w:i/>
          <w:iCs/>
          <w:color w:val="231F20"/>
          <w:sz w:val="20"/>
          <w:szCs w:val="20"/>
        </w:rPr>
      </w:pPr>
      <w:r w:rsidRPr="00DE1931">
        <w:rPr>
          <w:rFonts w:ascii="Book Antiqua" w:hAnsi="Book Antiqua" w:cs="Verdana"/>
          <w:b/>
          <w:bCs/>
          <w:i/>
          <w:iCs/>
          <w:color w:val="231F20"/>
          <w:sz w:val="20"/>
          <w:szCs w:val="20"/>
        </w:rPr>
        <w:t xml:space="preserve">[Pursuant to section 109(5) of the Companies Act, 2013 and rule 21(1)(c) of the </w:t>
      </w:r>
      <w:r>
        <w:rPr>
          <w:rFonts w:ascii="Book Antiqua" w:hAnsi="Book Antiqua" w:cs="Verdana"/>
          <w:b/>
          <w:bCs/>
          <w:i/>
          <w:iCs/>
          <w:color w:val="231F20"/>
          <w:sz w:val="20"/>
          <w:szCs w:val="20"/>
        </w:rPr>
        <w:br/>
      </w:r>
      <w:r w:rsidRPr="00DE1931">
        <w:rPr>
          <w:rFonts w:ascii="Book Antiqua" w:hAnsi="Book Antiqua" w:cs="Verdana"/>
          <w:b/>
          <w:bCs/>
          <w:i/>
          <w:iCs/>
          <w:color w:val="231F20"/>
          <w:sz w:val="20"/>
          <w:szCs w:val="20"/>
        </w:rPr>
        <w:t>Companies (Management and Administration) Rules, 2014]</w:t>
      </w:r>
    </w:p>
    <w:p w:rsidR="00413513" w:rsidRDefault="00413513" w:rsidP="00413513">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p w:rsidR="00413513" w:rsidRPr="00336FE3" w:rsidRDefault="00413513" w:rsidP="00413513">
      <w:pPr>
        <w:pStyle w:val="TableParagraph"/>
        <w:widowControl/>
        <w:kinsoku w:val="0"/>
        <w:overflowPunct w:val="0"/>
        <w:spacing w:before="40" w:after="40" w:line="233" w:lineRule="auto"/>
        <w:jc w:val="center"/>
        <w:outlineLvl w:val="7"/>
        <w:rPr>
          <w:rFonts w:ascii="Book Antiqua" w:hAnsi="Book Antiqua" w:cs="Calibri"/>
          <w:color w:val="231F20"/>
          <w:sz w:val="20"/>
          <w:szCs w:val="20"/>
        </w:rPr>
      </w:pPr>
      <w:r w:rsidRPr="00DE1931">
        <w:rPr>
          <w:rFonts w:ascii="Book Antiqua" w:hAnsi="Book Antiqua" w:cs="Calibri"/>
          <w:color w:val="231F20"/>
          <w:sz w:val="19"/>
          <w:szCs w:val="19"/>
        </w:rPr>
        <w:t>Name of the Company:</w:t>
      </w:r>
      <w:r w:rsidR="00226B1C">
        <w:rPr>
          <w:rFonts w:ascii="Book Antiqua" w:hAnsi="Book Antiqua" w:cs="Calibri"/>
          <w:color w:val="231F20"/>
          <w:sz w:val="19"/>
          <w:szCs w:val="19"/>
        </w:rPr>
        <w:t xml:space="preserve"> </w:t>
      </w:r>
      <w:r w:rsidRPr="00336FE3">
        <w:rPr>
          <w:rFonts w:asciiTheme="majorHAnsi" w:hAnsiTheme="majorHAnsi" w:cs="Times New Roman"/>
          <w:b/>
          <w:sz w:val="20"/>
          <w:szCs w:val="20"/>
        </w:rPr>
        <w:t>JHANDEWALAS FOODS LIMITED</w:t>
      </w:r>
    </w:p>
    <w:p w:rsidR="00413513" w:rsidRDefault="00413513" w:rsidP="00413513">
      <w:pPr>
        <w:pStyle w:val="TableParagraph"/>
        <w:widowControl/>
        <w:kinsoku w:val="0"/>
        <w:overflowPunct w:val="0"/>
        <w:spacing w:before="40" w:after="40" w:line="233" w:lineRule="auto"/>
        <w:jc w:val="center"/>
        <w:outlineLvl w:val="7"/>
        <w:rPr>
          <w:rFonts w:ascii="Book Antiqua" w:hAnsi="Book Antiqua" w:cs="Calibri"/>
          <w:color w:val="231F20"/>
          <w:sz w:val="19"/>
          <w:szCs w:val="19"/>
        </w:rPr>
      </w:pPr>
      <w:r w:rsidRPr="00DE1931">
        <w:rPr>
          <w:rFonts w:ascii="Book Antiqua" w:hAnsi="Book Antiqua" w:cs="Calibri"/>
          <w:color w:val="231F20"/>
          <w:sz w:val="19"/>
          <w:szCs w:val="19"/>
        </w:rPr>
        <w:t>Registered office:</w:t>
      </w:r>
      <w:r w:rsidRPr="00336FE3">
        <w:rPr>
          <w:rFonts w:asciiTheme="majorHAnsi" w:hAnsiTheme="majorHAnsi" w:cs="Times New Roman"/>
          <w:b/>
          <w:sz w:val="20"/>
          <w:szCs w:val="20"/>
        </w:rPr>
        <w:t>B-70, FIRST FLOOR, UPASANA HOUSE, JANTA STORE, BAPU NAGAR, JAIPUR-302015</w:t>
      </w:r>
    </w:p>
    <w:p w:rsidR="00413513" w:rsidRPr="00DE1931" w:rsidRDefault="00413513" w:rsidP="00413513">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DE1931">
        <w:rPr>
          <w:rFonts w:ascii="Book Antiqua" w:hAnsi="Book Antiqua" w:cs="Calibri"/>
          <w:b/>
          <w:color w:val="231F20"/>
          <w:sz w:val="19"/>
          <w:szCs w:val="19"/>
        </w:rPr>
        <w:t>BALLOT PAPER</w:t>
      </w: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2"/>
        <w:gridCol w:w="3842"/>
        <w:gridCol w:w="4024"/>
      </w:tblGrid>
      <w:tr w:rsidR="00413513" w:rsidRPr="00287951" w:rsidTr="009C75ED">
        <w:trPr>
          <w:jc w:val="center"/>
        </w:trPr>
        <w:tc>
          <w:tcPr>
            <w:tcW w:w="576" w:type="dxa"/>
            <w:shd w:val="clear" w:color="auto" w:fill="D9D9D9"/>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b/>
                <w:color w:val="231F20"/>
                <w:sz w:val="19"/>
                <w:szCs w:val="19"/>
              </w:rPr>
            </w:pPr>
            <w:r w:rsidRPr="00287951">
              <w:rPr>
                <w:rFonts w:ascii="Book Antiqua" w:hAnsi="Book Antiqua" w:cs="Calibri"/>
                <w:b/>
                <w:color w:val="231F20"/>
                <w:sz w:val="19"/>
                <w:szCs w:val="19"/>
              </w:rPr>
              <w:t>S No</w:t>
            </w:r>
          </w:p>
        </w:tc>
        <w:tc>
          <w:tcPr>
            <w:tcW w:w="2942" w:type="dxa"/>
            <w:shd w:val="clear" w:color="auto" w:fill="D9D9D9"/>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b/>
                <w:color w:val="231F20"/>
                <w:sz w:val="19"/>
                <w:szCs w:val="19"/>
              </w:rPr>
            </w:pPr>
            <w:r w:rsidRPr="00287951">
              <w:rPr>
                <w:rFonts w:ascii="Book Antiqua" w:hAnsi="Book Antiqua" w:cs="Calibri"/>
                <w:b/>
                <w:color w:val="231F20"/>
                <w:sz w:val="19"/>
                <w:szCs w:val="19"/>
              </w:rPr>
              <w:t>Particulars</w:t>
            </w:r>
          </w:p>
        </w:tc>
        <w:tc>
          <w:tcPr>
            <w:tcW w:w="3082" w:type="dxa"/>
            <w:shd w:val="clear" w:color="auto" w:fill="D9D9D9"/>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b/>
                <w:color w:val="231F20"/>
                <w:sz w:val="19"/>
                <w:szCs w:val="19"/>
              </w:rPr>
            </w:pPr>
            <w:r w:rsidRPr="00287951">
              <w:rPr>
                <w:rFonts w:ascii="Book Antiqua" w:hAnsi="Book Antiqua" w:cs="Calibri"/>
                <w:b/>
                <w:color w:val="231F20"/>
                <w:sz w:val="19"/>
                <w:szCs w:val="19"/>
              </w:rPr>
              <w:t>Details</w:t>
            </w:r>
          </w:p>
        </w:tc>
      </w:tr>
      <w:tr w:rsidR="00413513" w:rsidRPr="00287951" w:rsidTr="009C75ED">
        <w:trPr>
          <w:jc w:val="center"/>
        </w:trPr>
        <w:tc>
          <w:tcPr>
            <w:tcW w:w="576"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1.</w:t>
            </w:r>
          </w:p>
        </w:tc>
        <w:tc>
          <w:tcPr>
            <w:tcW w:w="294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Name of the First Named Shareholder (In block letters)</w:t>
            </w:r>
          </w:p>
        </w:tc>
        <w:tc>
          <w:tcPr>
            <w:tcW w:w="308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p>
        </w:tc>
      </w:tr>
      <w:tr w:rsidR="00413513" w:rsidRPr="00287951" w:rsidTr="009C75ED">
        <w:trPr>
          <w:jc w:val="center"/>
        </w:trPr>
        <w:tc>
          <w:tcPr>
            <w:tcW w:w="576"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2.</w:t>
            </w:r>
          </w:p>
        </w:tc>
        <w:tc>
          <w:tcPr>
            <w:tcW w:w="294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Postal address</w:t>
            </w:r>
          </w:p>
        </w:tc>
        <w:tc>
          <w:tcPr>
            <w:tcW w:w="308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p>
        </w:tc>
      </w:tr>
      <w:tr w:rsidR="00413513" w:rsidRPr="00287951" w:rsidTr="009C75ED">
        <w:trPr>
          <w:jc w:val="center"/>
        </w:trPr>
        <w:tc>
          <w:tcPr>
            <w:tcW w:w="576"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3.</w:t>
            </w:r>
          </w:p>
        </w:tc>
        <w:tc>
          <w:tcPr>
            <w:tcW w:w="294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Registered folio No./*Client ID No. (*Applicable to investors holding shares in dematerialized form)</w:t>
            </w:r>
          </w:p>
        </w:tc>
        <w:tc>
          <w:tcPr>
            <w:tcW w:w="308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p>
        </w:tc>
      </w:tr>
      <w:tr w:rsidR="00413513" w:rsidRPr="00287951" w:rsidTr="009C75ED">
        <w:trPr>
          <w:jc w:val="center"/>
        </w:trPr>
        <w:tc>
          <w:tcPr>
            <w:tcW w:w="576"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4.</w:t>
            </w:r>
          </w:p>
        </w:tc>
        <w:tc>
          <w:tcPr>
            <w:tcW w:w="294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Class of Share</w:t>
            </w:r>
          </w:p>
        </w:tc>
        <w:tc>
          <w:tcPr>
            <w:tcW w:w="3082" w:type="dxa"/>
            <w:shd w:val="clear" w:color="auto" w:fill="auto"/>
          </w:tcPr>
          <w:p w:rsidR="00413513" w:rsidRPr="00287951" w:rsidRDefault="00413513" w:rsidP="009C75ED">
            <w:pPr>
              <w:pStyle w:val="TableParagraph"/>
              <w:widowControl/>
              <w:kinsoku w:val="0"/>
              <w:overflowPunct w:val="0"/>
              <w:spacing w:before="20" w:after="20" w:line="233" w:lineRule="auto"/>
              <w:jc w:val="both"/>
              <w:outlineLvl w:val="7"/>
              <w:rPr>
                <w:rFonts w:ascii="Book Antiqua" w:hAnsi="Book Antiqua" w:cs="Calibri"/>
                <w:color w:val="231F20"/>
                <w:sz w:val="19"/>
                <w:szCs w:val="19"/>
              </w:rPr>
            </w:pPr>
          </w:p>
        </w:tc>
      </w:tr>
    </w:tbl>
    <w:p w:rsidR="00413513" w:rsidRDefault="00413513" w:rsidP="00413513">
      <w:pPr>
        <w:pStyle w:val="TableParagraph"/>
        <w:widowControl/>
        <w:kinsoku w:val="0"/>
        <w:overflowPunct w:val="0"/>
        <w:spacing w:before="40" w:after="40" w:line="233" w:lineRule="auto"/>
        <w:ind w:left="810"/>
        <w:jc w:val="both"/>
        <w:outlineLvl w:val="7"/>
        <w:rPr>
          <w:rFonts w:ascii="Book Antiqua" w:hAnsi="Book Antiqua" w:cs="Calibri"/>
          <w:color w:val="231F20"/>
          <w:sz w:val="19"/>
          <w:szCs w:val="19"/>
        </w:rPr>
      </w:pPr>
    </w:p>
    <w:p w:rsidR="00413513" w:rsidRDefault="00413513" w:rsidP="00413513">
      <w:pPr>
        <w:pStyle w:val="TableParagraph"/>
        <w:widowControl/>
        <w:kinsoku w:val="0"/>
        <w:overflowPunct w:val="0"/>
        <w:spacing w:before="40" w:after="40" w:line="233" w:lineRule="auto"/>
        <w:ind w:left="810"/>
        <w:jc w:val="both"/>
        <w:outlineLvl w:val="7"/>
        <w:rPr>
          <w:rFonts w:ascii="Book Antiqua" w:hAnsi="Book Antiqua" w:cs="Calibri"/>
          <w:color w:val="231F20"/>
          <w:sz w:val="19"/>
          <w:szCs w:val="19"/>
        </w:rPr>
      </w:pPr>
      <w:r w:rsidRPr="00DE1931">
        <w:rPr>
          <w:rFonts w:ascii="Book Antiqua" w:hAnsi="Book Antiqua" w:cs="Calibri"/>
          <w:color w:val="231F20"/>
          <w:sz w:val="19"/>
          <w:szCs w:val="19"/>
        </w:rPr>
        <w:t>I hereby exercise my vote in respect of Ordinary/Special resolution enumerated below by recording my</w:t>
      </w:r>
    </w:p>
    <w:p w:rsidR="00413513" w:rsidRPr="00DE1931" w:rsidRDefault="00413513" w:rsidP="00413513">
      <w:pPr>
        <w:pStyle w:val="TableParagraph"/>
        <w:widowControl/>
        <w:kinsoku w:val="0"/>
        <w:overflowPunct w:val="0"/>
        <w:spacing w:before="40" w:after="40" w:line="233" w:lineRule="auto"/>
        <w:ind w:left="810"/>
        <w:jc w:val="both"/>
        <w:outlineLvl w:val="7"/>
        <w:rPr>
          <w:rFonts w:ascii="Book Antiqua" w:hAnsi="Book Antiqua" w:cs="Calibri"/>
          <w:color w:val="231F20"/>
          <w:sz w:val="19"/>
          <w:szCs w:val="19"/>
        </w:rPr>
      </w:pPr>
      <w:r w:rsidRPr="00DE1931">
        <w:rPr>
          <w:rFonts w:ascii="Book Antiqua" w:hAnsi="Book Antiqua" w:cs="Calibri"/>
          <w:color w:val="231F20"/>
          <w:sz w:val="19"/>
          <w:szCs w:val="19"/>
        </w:rPr>
        <w:t>assent or dissent to the said resolution in the following manner:</w:t>
      </w: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2"/>
        <w:gridCol w:w="2764"/>
        <w:gridCol w:w="1536"/>
        <w:gridCol w:w="1849"/>
        <w:gridCol w:w="1867"/>
      </w:tblGrid>
      <w:tr w:rsidR="00413513" w:rsidRPr="00287951" w:rsidTr="009C75ED">
        <w:trPr>
          <w:jc w:val="center"/>
        </w:trPr>
        <w:tc>
          <w:tcPr>
            <w:tcW w:w="602" w:type="dxa"/>
            <w:shd w:val="clear" w:color="auto" w:fill="D9D9D9"/>
          </w:tcPr>
          <w:p w:rsidR="00413513" w:rsidRPr="00287951" w:rsidRDefault="00413513" w:rsidP="009C75ED">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287951">
              <w:rPr>
                <w:rFonts w:ascii="Book Antiqua" w:hAnsi="Book Antiqua" w:cs="Calibri"/>
                <w:b/>
                <w:color w:val="231F20"/>
                <w:sz w:val="19"/>
                <w:szCs w:val="19"/>
              </w:rPr>
              <w:t>No</w:t>
            </w:r>
          </w:p>
        </w:tc>
        <w:tc>
          <w:tcPr>
            <w:tcW w:w="2764" w:type="dxa"/>
            <w:shd w:val="clear" w:color="auto" w:fill="D9D9D9"/>
          </w:tcPr>
          <w:p w:rsidR="00413513" w:rsidRPr="00287951" w:rsidRDefault="00413513" w:rsidP="009C75ED">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287951">
              <w:rPr>
                <w:rFonts w:ascii="Book Antiqua" w:hAnsi="Book Antiqua" w:cs="Calibri"/>
                <w:b/>
                <w:color w:val="231F20"/>
                <w:sz w:val="19"/>
                <w:szCs w:val="19"/>
              </w:rPr>
              <w:t>Item No.</w:t>
            </w:r>
          </w:p>
        </w:tc>
        <w:tc>
          <w:tcPr>
            <w:tcW w:w="1536" w:type="dxa"/>
            <w:shd w:val="clear" w:color="auto" w:fill="D9D9D9"/>
          </w:tcPr>
          <w:p w:rsidR="00413513" w:rsidRPr="00287951" w:rsidRDefault="00413513" w:rsidP="009C75ED">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287951">
              <w:rPr>
                <w:rFonts w:ascii="Book Antiqua" w:hAnsi="Book Antiqua" w:cs="Calibri"/>
                <w:b/>
                <w:color w:val="231F20"/>
                <w:sz w:val="19"/>
                <w:szCs w:val="19"/>
              </w:rPr>
              <w:t>No. of shares held by me</w:t>
            </w:r>
          </w:p>
        </w:tc>
        <w:tc>
          <w:tcPr>
            <w:tcW w:w="1849" w:type="dxa"/>
            <w:shd w:val="clear" w:color="auto" w:fill="D9D9D9"/>
          </w:tcPr>
          <w:p w:rsidR="00413513" w:rsidRPr="00287951" w:rsidRDefault="00413513" w:rsidP="009C75ED">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287951">
              <w:rPr>
                <w:rFonts w:ascii="Book Antiqua" w:hAnsi="Book Antiqua" w:cs="Calibri"/>
                <w:b/>
                <w:color w:val="231F20"/>
                <w:sz w:val="19"/>
                <w:szCs w:val="19"/>
              </w:rPr>
              <w:t>I assent to the resolution</w:t>
            </w:r>
          </w:p>
        </w:tc>
        <w:tc>
          <w:tcPr>
            <w:tcW w:w="1867" w:type="dxa"/>
            <w:shd w:val="clear" w:color="auto" w:fill="D9D9D9"/>
          </w:tcPr>
          <w:p w:rsidR="00413513" w:rsidRPr="00287951" w:rsidRDefault="00413513" w:rsidP="009C75ED">
            <w:pPr>
              <w:pStyle w:val="TableParagraph"/>
              <w:widowControl/>
              <w:kinsoku w:val="0"/>
              <w:overflowPunct w:val="0"/>
              <w:spacing w:before="40" w:after="40" w:line="233" w:lineRule="auto"/>
              <w:jc w:val="center"/>
              <w:outlineLvl w:val="7"/>
              <w:rPr>
                <w:rFonts w:ascii="Book Antiqua" w:hAnsi="Book Antiqua" w:cs="Calibri"/>
                <w:b/>
                <w:color w:val="231F20"/>
                <w:sz w:val="19"/>
                <w:szCs w:val="19"/>
              </w:rPr>
            </w:pPr>
            <w:r w:rsidRPr="00287951">
              <w:rPr>
                <w:rFonts w:ascii="Book Antiqua" w:hAnsi="Book Antiqua" w:cs="Calibri"/>
                <w:b/>
                <w:color w:val="231F20"/>
                <w:sz w:val="19"/>
                <w:szCs w:val="19"/>
              </w:rPr>
              <w:t>I dissent from the resolution</w:t>
            </w:r>
          </w:p>
        </w:tc>
      </w:tr>
      <w:tr w:rsidR="00413513" w:rsidRPr="00287951" w:rsidTr="009C75ED">
        <w:trPr>
          <w:trHeight w:val="135"/>
          <w:jc w:val="center"/>
        </w:trPr>
        <w:tc>
          <w:tcPr>
            <w:tcW w:w="602" w:type="dxa"/>
            <w:tcBorders>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r w:rsidRPr="00287951">
              <w:rPr>
                <w:rFonts w:ascii="Book Antiqua" w:hAnsi="Book Antiqua" w:cs="Calibri"/>
                <w:color w:val="231F20"/>
                <w:sz w:val="19"/>
                <w:szCs w:val="19"/>
              </w:rPr>
              <w:t>1.</w:t>
            </w:r>
          </w:p>
        </w:tc>
        <w:tc>
          <w:tcPr>
            <w:tcW w:w="2764" w:type="dxa"/>
            <w:tcBorders>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r>
              <w:rPr>
                <w:rFonts w:ascii="Book Antiqua" w:hAnsi="Book Antiqua" w:cs="Calibri"/>
                <w:color w:val="231F20"/>
                <w:sz w:val="19"/>
                <w:szCs w:val="19"/>
              </w:rPr>
              <w:t>To consider and adopt audited financial statement of year ended march 31</w:t>
            </w:r>
            <w:r w:rsidRPr="009855AD">
              <w:rPr>
                <w:rFonts w:ascii="Book Antiqua" w:hAnsi="Book Antiqua" w:cs="Calibri"/>
                <w:color w:val="231F20"/>
                <w:sz w:val="19"/>
                <w:szCs w:val="19"/>
                <w:vertAlign w:val="superscript"/>
              </w:rPr>
              <w:t>st</w:t>
            </w:r>
            <w:r>
              <w:rPr>
                <w:rFonts w:ascii="Book Antiqua" w:hAnsi="Book Antiqua" w:cs="Calibri"/>
                <w:color w:val="231F20"/>
                <w:sz w:val="19"/>
                <w:szCs w:val="19"/>
              </w:rPr>
              <w:t xml:space="preserve"> ,2019</w:t>
            </w:r>
          </w:p>
        </w:tc>
        <w:tc>
          <w:tcPr>
            <w:tcW w:w="1536" w:type="dxa"/>
            <w:tcBorders>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49" w:type="dxa"/>
            <w:tcBorders>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67" w:type="dxa"/>
            <w:tcBorders>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r>
      <w:tr w:rsidR="00413513" w:rsidRPr="00287951" w:rsidTr="009C75ED">
        <w:trPr>
          <w:trHeight w:val="144"/>
          <w:jc w:val="center"/>
        </w:trPr>
        <w:tc>
          <w:tcPr>
            <w:tcW w:w="602" w:type="dxa"/>
            <w:tcBorders>
              <w:top w:val="single" w:sz="4" w:space="0" w:color="auto"/>
              <w:bottom w:val="single" w:sz="4" w:space="0" w:color="auto"/>
            </w:tcBorders>
            <w:shd w:val="clear" w:color="auto" w:fill="auto"/>
          </w:tcPr>
          <w:p w:rsidR="00413513" w:rsidRPr="00287951" w:rsidRDefault="00413513" w:rsidP="009C75ED">
            <w:pPr>
              <w:pStyle w:val="TableParagraph"/>
              <w:kinsoku w:val="0"/>
              <w:overflowPunct w:val="0"/>
              <w:spacing w:before="40" w:after="40" w:line="233" w:lineRule="auto"/>
              <w:jc w:val="both"/>
              <w:outlineLvl w:val="7"/>
              <w:rPr>
                <w:rFonts w:ascii="Book Antiqua" w:hAnsi="Book Antiqua" w:cs="Calibri"/>
                <w:color w:val="231F20"/>
                <w:sz w:val="19"/>
                <w:szCs w:val="19"/>
              </w:rPr>
            </w:pPr>
            <w:r>
              <w:rPr>
                <w:rFonts w:ascii="Book Antiqua" w:hAnsi="Book Antiqua" w:cs="Calibri"/>
                <w:color w:val="231F20"/>
                <w:sz w:val="19"/>
                <w:szCs w:val="19"/>
              </w:rPr>
              <w:t>2</w:t>
            </w:r>
          </w:p>
        </w:tc>
        <w:tc>
          <w:tcPr>
            <w:tcW w:w="2764"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r>
              <w:rPr>
                <w:rFonts w:ascii="Book Antiqua" w:hAnsi="Book Antiqua" w:cs="Calibri"/>
                <w:color w:val="231F20"/>
                <w:sz w:val="19"/>
                <w:szCs w:val="19"/>
              </w:rPr>
              <w:t>To appoint Mrs. Jinko Devi Koolwal who retires by rotation as a director and being eligible for re-appointment</w:t>
            </w:r>
          </w:p>
        </w:tc>
        <w:tc>
          <w:tcPr>
            <w:tcW w:w="1536"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49"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67"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r>
      <w:tr w:rsidR="00413513" w:rsidRPr="00287951" w:rsidTr="009C75ED">
        <w:trPr>
          <w:trHeight w:val="150"/>
          <w:jc w:val="center"/>
        </w:trPr>
        <w:tc>
          <w:tcPr>
            <w:tcW w:w="602" w:type="dxa"/>
            <w:tcBorders>
              <w:top w:val="single" w:sz="4" w:space="0" w:color="auto"/>
              <w:bottom w:val="single" w:sz="4" w:space="0" w:color="auto"/>
            </w:tcBorders>
            <w:shd w:val="clear" w:color="auto" w:fill="auto"/>
          </w:tcPr>
          <w:p w:rsidR="00413513" w:rsidRPr="00287951" w:rsidRDefault="00413513" w:rsidP="009C75ED">
            <w:pPr>
              <w:pStyle w:val="TableParagraph"/>
              <w:kinsoku w:val="0"/>
              <w:overflowPunct w:val="0"/>
              <w:spacing w:before="40" w:after="40" w:line="233" w:lineRule="auto"/>
              <w:jc w:val="both"/>
              <w:outlineLvl w:val="7"/>
              <w:rPr>
                <w:rFonts w:ascii="Book Antiqua" w:hAnsi="Book Antiqua" w:cs="Calibri"/>
                <w:color w:val="231F20"/>
                <w:sz w:val="19"/>
                <w:szCs w:val="19"/>
              </w:rPr>
            </w:pPr>
            <w:r>
              <w:rPr>
                <w:rFonts w:ascii="Book Antiqua" w:hAnsi="Book Antiqua" w:cs="Calibri"/>
                <w:color w:val="231F20"/>
                <w:sz w:val="19"/>
                <w:szCs w:val="19"/>
              </w:rPr>
              <w:t>3</w:t>
            </w:r>
          </w:p>
        </w:tc>
        <w:tc>
          <w:tcPr>
            <w:tcW w:w="2764"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r>
              <w:rPr>
                <w:rFonts w:ascii="Book Antiqua" w:hAnsi="Book Antiqua" w:cs="Calibri"/>
                <w:color w:val="231F20"/>
                <w:sz w:val="19"/>
                <w:szCs w:val="19"/>
              </w:rPr>
              <w:t>To appoint statutory auditor of the company and fix their remuneration</w:t>
            </w:r>
          </w:p>
        </w:tc>
        <w:tc>
          <w:tcPr>
            <w:tcW w:w="1536"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49"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c>
          <w:tcPr>
            <w:tcW w:w="1867" w:type="dxa"/>
            <w:tcBorders>
              <w:top w:val="single" w:sz="4" w:space="0" w:color="auto"/>
              <w:bottom w:val="single" w:sz="4" w:space="0" w:color="auto"/>
            </w:tcBorders>
            <w:shd w:val="clear" w:color="auto" w:fill="auto"/>
          </w:tcPr>
          <w:p w:rsidR="00413513" w:rsidRPr="00287951" w:rsidRDefault="00413513" w:rsidP="009C75ED">
            <w:pPr>
              <w:pStyle w:val="TableParagraph"/>
              <w:widowControl/>
              <w:kinsoku w:val="0"/>
              <w:overflowPunct w:val="0"/>
              <w:spacing w:before="40" w:after="40" w:line="233" w:lineRule="auto"/>
              <w:jc w:val="both"/>
              <w:outlineLvl w:val="7"/>
              <w:rPr>
                <w:rFonts w:ascii="Book Antiqua" w:hAnsi="Book Antiqua" w:cs="Calibri"/>
                <w:color w:val="231F20"/>
                <w:sz w:val="19"/>
                <w:szCs w:val="19"/>
              </w:rPr>
            </w:pPr>
          </w:p>
        </w:tc>
      </w:tr>
    </w:tbl>
    <w:p w:rsidR="00413513" w:rsidRDefault="00413513" w:rsidP="00413513">
      <w:pPr>
        <w:rPr>
          <w:sz w:val="20"/>
        </w:rPr>
      </w:pPr>
    </w:p>
    <w:p w:rsidR="00413513" w:rsidRDefault="00413513" w:rsidP="00413513">
      <w:pPr>
        <w:rPr>
          <w:sz w:val="20"/>
        </w:rPr>
      </w:pPr>
    </w:p>
    <w:p w:rsidR="00413513" w:rsidRDefault="00413513" w:rsidP="00413513">
      <w:pPr>
        <w:rPr>
          <w:sz w:val="20"/>
        </w:rPr>
      </w:pPr>
    </w:p>
    <w:p w:rsidR="00413513" w:rsidRDefault="00413513" w:rsidP="00413513">
      <w:pPr>
        <w:rPr>
          <w:sz w:val="20"/>
        </w:rPr>
      </w:pPr>
    </w:p>
    <w:p w:rsidR="00413513" w:rsidRDefault="00413513" w:rsidP="00413513">
      <w:pPr>
        <w:rPr>
          <w:sz w:val="20"/>
        </w:rPr>
      </w:pPr>
    </w:p>
    <w:p w:rsidR="00413513" w:rsidRPr="00DE1931" w:rsidRDefault="00413513" w:rsidP="00413513">
      <w:pPr>
        <w:pStyle w:val="TableParagraph"/>
        <w:widowControl/>
        <w:kinsoku w:val="0"/>
        <w:overflowPunct w:val="0"/>
        <w:spacing w:before="40" w:after="40" w:line="233" w:lineRule="auto"/>
        <w:ind w:left="454" w:hanging="454"/>
        <w:jc w:val="both"/>
        <w:outlineLvl w:val="7"/>
        <w:rPr>
          <w:rFonts w:ascii="Book Antiqua" w:hAnsi="Book Antiqua" w:cs="Calibri"/>
          <w:color w:val="231F20"/>
          <w:sz w:val="19"/>
          <w:szCs w:val="19"/>
        </w:rPr>
      </w:pPr>
      <w:r w:rsidRPr="00DE1931">
        <w:rPr>
          <w:rFonts w:ascii="Book Antiqua" w:hAnsi="Book Antiqua" w:cs="Calibri"/>
          <w:color w:val="231F20"/>
          <w:sz w:val="19"/>
          <w:szCs w:val="19"/>
        </w:rPr>
        <w:t>Place:</w:t>
      </w:r>
    </w:p>
    <w:p w:rsidR="00413513" w:rsidRDefault="00413513" w:rsidP="00413513">
      <w:pPr>
        <w:pStyle w:val="TableParagraph"/>
        <w:widowControl/>
        <w:kinsoku w:val="0"/>
        <w:overflowPunct w:val="0"/>
        <w:spacing w:before="40" w:after="40" w:line="233" w:lineRule="auto"/>
        <w:ind w:left="454" w:hanging="454"/>
        <w:jc w:val="both"/>
        <w:outlineLvl w:val="7"/>
        <w:rPr>
          <w:rFonts w:ascii="Book Antiqua" w:hAnsi="Book Antiqua" w:cs="Calibri"/>
          <w:color w:val="231F20"/>
          <w:sz w:val="19"/>
          <w:szCs w:val="19"/>
        </w:rPr>
      </w:pPr>
      <w:r w:rsidRPr="00DE1931">
        <w:rPr>
          <w:rFonts w:ascii="Book Antiqua" w:hAnsi="Book Antiqua" w:cs="Calibri"/>
          <w:color w:val="231F20"/>
          <w:sz w:val="19"/>
          <w:szCs w:val="19"/>
        </w:rPr>
        <w:t xml:space="preserve">Date: </w:t>
      </w:r>
    </w:p>
    <w:p w:rsidR="00413513" w:rsidRDefault="00413513" w:rsidP="00413513">
      <w:pPr>
        <w:pStyle w:val="TableParagraph"/>
        <w:widowControl/>
        <w:kinsoku w:val="0"/>
        <w:overflowPunct w:val="0"/>
        <w:spacing w:before="40" w:after="40" w:line="233" w:lineRule="auto"/>
        <w:ind w:left="454" w:hanging="454"/>
        <w:jc w:val="center"/>
        <w:outlineLvl w:val="7"/>
        <w:rPr>
          <w:rFonts w:ascii="Book Antiqua" w:hAnsi="Book Antiqua" w:cs="Calibri"/>
          <w:color w:val="231F20"/>
          <w:sz w:val="19"/>
          <w:szCs w:val="19"/>
        </w:rPr>
      </w:pPr>
    </w:p>
    <w:p w:rsidR="00413513" w:rsidRPr="00DE1931" w:rsidRDefault="00413513" w:rsidP="00413513">
      <w:pPr>
        <w:pStyle w:val="TableParagraph"/>
        <w:widowControl/>
        <w:kinsoku w:val="0"/>
        <w:overflowPunct w:val="0"/>
        <w:spacing w:before="40" w:after="40" w:line="233" w:lineRule="auto"/>
        <w:ind w:left="454" w:hanging="454"/>
        <w:jc w:val="center"/>
        <w:outlineLvl w:val="7"/>
        <w:rPr>
          <w:rFonts w:ascii="Book Antiqua" w:hAnsi="Book Antiqua" w:cs="Calibri"/>
          <w:color w:val="231F20"/>
          <w:sz w:val="19"/>
          <w:szCs w:val="19"/>
        </w:rPr>
      </w:pPr>
      <w:r w:rsidRPr="00DE1931">
        <w:rPr>
          <w:rFonts w:ascii="Book Antiqua" w:hAnsi="Book Antiqua" w:cs="Calibri"/>
          <w:color w:val="231F20"/>
          <w:sz w:val="19"/>
          <w:szCs w:val="19"/>
        </w:rPr>
        <w:t>(Signature of the shareholder)</w:t>
      </w:r>
    </w:p>
    <w:p w:rsidR="009130B2" w:rsidRDefault="009130B2"/>
    <w:sectPr w:rsidR="009130B2" w:rsidSect="00A00C1B">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38" w:rsidRDefault="004F5238" w:rsidP="00D109F5">
      <w:r>
        <w:separator/>
      </w:r>
    </w:p>
  </w:endnote>
  <w:endnote w:type="continuationSeparator" w:id="1">
    <w:p w:rsidR="004F5238" w:rsidRDefault="004F5238" w:rsidP="00D10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99" w:rsidRDefault="00D109F5">
    <w:pPr>
      <w:pStyle w:val="BodyText"/>
      <w:spacing w:line="14" w:lineRule="auto"/>
      <w:rPr>
        <w:sz w:val="19"/>
      </w:rPr>
    </w:pPr>
    <w:r w:rsidRPr="00D109F5">
      <w:pict>
        <v:shapetype id="_x0000_t202" coordsize="21600,21600" o:spt="202" path="m,l,21600r21600,l21600,xe">
          <v:stroke joinstyle="miter"/>
          <v:path gradientshapeok="t" o:connecttype="rect"/>
        </v:shapetype>
        <v:shape id="_x0000_s2049" type="#_x0000_t202" style="position:absolute;margin-left:286.2pt;margin-top:774.1pt;width:22.55pt;height:15.3pt;z-index:-251658752;mso-position-horizontal-relative:page;mso-position-vertical-relative:page" filled="f" stroked="f">
          <v:textbox inset="0,0,0,0">
            <w:txbxContent>
              <w:p w:rsidR="00743299" w:rsidRDefault="004F5238">
                <w:pPr>
                  <w:spacing w:before="10"/>
                  <w:ind w:left="20"/>
                  <w:rPr>
                    <w:rFonts w:ascii="Times New Roman"/>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38" w:rsidRDefault="004F5238" w:rsidP="00D109F5">
      <w:r>
        <w:separator/>
      </w:r>
    </w:p>
  </w:footnote>
  <w:footnote w:type="continuationSeparator" w:id="1">
    <w:p w:rsidR="004F5238" w:rsidRDefault="004F5238" w:rsidP="00D1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2334"/>
    <w:multiLevelType w:val="hybridMultilevel"/>
    <w:tmpl w:val="7A7C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AA0A30"/>
    <w:multiLevelType w:val="hybridMultilevel"/>
    <w:tmpl w:val="F2460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932C55"/>
    <w:multiLevelType w:val="hybridMultilevel"/>
    <w:tmpl w:val="71542E7E"/>
    <w:lvl w:ilvl="0" w:tplc="25488A9E">
      <w:start w:val="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68165400"/>
    <w:multiLevelType w:val="hybridMultilevel"/>
    <w:tmpl w:val="89121032"/>
    <w:lvl w:ilvl="0" w:tplc="A0A0B37C">
      <w:start w:val="1"/>
      <w:numFmt w:val="decimal"/>
      <w:lvlText w:val="%1."/>
      <w:lvlJc w:val="left"/>
      <w:pPr>
        <w:ind w:left="510" w:hanging="360"/>
      </w:pPr>
      <w:rPr>
        <w:rFonts w:hint="default"/>
        <w:b/>
        <w:bCs/>
        <w:spacing w:val="-19"/>
        <w:w w:val="100"/>
      </w:rPr>
    </w:lvl>
    <w:lvl w:ilvl="1" w:tplc="3CEEF4B0">
      <w:start w:val="1"/>
      <w:numFmt w:val="lowerLetter"/>
      <w:lvlText w:val="(%2)"/>
      <w:lvlJc w:val="left"/>
      <w:pPr>
        <w:ind w:left="870" w:hanging="360"/>
      </w:pPr>
      <w:rPr>
        <w:rFonts w:ascii="Arial" w:eastAsia="Arial" w:hAnsi="Arial" w:cs="Arial" w:hint="default"/>
        <w:color w:val="211F1F"/>
        <w:spacing w:val="-16"/>
        <w:w w:val="100"/>
        <w:sz w:val="18"/>
        <w:szCs w:val="18"/>
      </w:rPr>
    </w:lvl>
    <w:lvl w:ilvl="2" w:tplc="96F6FB9E">
      <w:numFmt w:val="bullet"/>
      <w:lvlText w:val="•"/>
      <w:lvlJc w:val="left"/>
      <w:pPr>
        <w:ind w:left="1344" w:hanging="360"/>
      </w:pPr>
      <w:rPr>
        <w:rFonts w:hint="default"/>
      </w:rPr>
    </w:lvl>
    <w:lvl w:ilvl="3" w:tplc="67C8C77A">
      <w:numFmt w:val="bullet"/>
      <w:lvlText w:val="•"/>
      <w:lvlJc w:val="left"/>
      <w:pPr>
        <w:ind w:left="1809" w:hanging="360"/>
      </w:pPr>
      <w:rPr>
        <w:rFonts w:hint="default"/>
      </w:rPr>
    </w:lvl>
    <w:lvl w:ilvl="4" w:tplc="28F0D702">
      <w:numFmt w:val="bullet"/>
      <w:lvlText w:val="•"/>
      <w:lvlJc w:val="left"/>
      <w:pPr>
        <w:ind w:left="2274" w:hanging="360"/>
      </w:pPr>
      <w:rPr>
        <w:rFonts w:hint="default"/>
      </w:rPr>
    </w:lvl>
    <w:lvl w:ilvl="5" w:tplc="E7822726">
      <w:numFmt w:val="bullet"/>
      <w:lvlText w:val="•"/>
      <w:lvlJc w:val="left"/>
      <w:pPr>
        <w:ind w:left="2739" w:hanging="360"/>
      </w:pPr>
      <w:rPr>
        <w:rFonts w:hint="default"/>
      </w:rPr>
    </w:lvl>
    <w:lvl w:ilvl="6" w:tplc="39828F4A">
      <w:numFmt w:val="bullet"/>
      <w:lvlText w:val="•"/>
      <w:lvlJc w:val="left"/>
      <w:pPr>
        <w:ind w:left="3204" w:hanging="360"/>
      </w:pPr>
      <w:rPr>
        <w:rFonts w:hint="default"/>
      </w:rPr>
    </w:lvl>
    <w:lvl w:ilvl="7" w:tplc="906ADE5E">
      <w:numFmt w:val="bullet"/>
      <w:lvlText w:val="•"/>
      <w:lvlJc w:val="left"/>
      <w:pPr>
        <w:ind w:left="3668" w:hanging="360"/>
      </w:pPr>
      <w:rPr>
        <w:rFonts w:hint="default"/>
      </w:rPr>
    </w:lvl>
    <w:lvl w:ilvl="8" w:tplc="4606BE20">
      <w:numFmt w:val="bullet"/>
      <w:lvlText w:val="•"/>
      <w:lvlJc w:val="left"/>
      <w:pPr>
        <w:ind w:left="4133" w:hanging="360"/>
      </w:pPr>
      <w:rPr>
        <w:rFonts w:hint="default"/>
      </w:rPr>
    </w:lvl>
  </w:abstractNum>
  <w:abstractNum w:abstractNumId="4">
    <w:nsid w:val="772C26AC"/>
    <w:multiLevelType w:val="hybridMultilevel"/>
    <w:tmpl w:val="E452DC0E"/>
    <w:lvl w:ilvl="0" w:tplc="04090001">
      <w:start w:val="1"/>
      <w:numFmt w:val="bullet"/>
      <w:lvlText w:val=""/>
      <w:lvlJc w:val="left"/>
      <w:pPr>
        <w:ind w:left="360" w:hanging="360"/>
        <w:jc w:val="right"/>
      </w:pPr>
      <w:rPr>
        <w:rFonts w:ascii="Symbol" w:hAnsi="Symbol" w:hint="default"/>
        <w:b/>
        <w:bCs/>
        <w:spacing w:val="-24"/>
        <w:w w:val="100"/>
      </w:rPr>
    </w:lvl>
    <w:lvl w:ilvl="1" w:tplc="99CE0CE4">
      <w:numFmt w:val="bullet"/>
      <w:lvlText w:val="•"/>
      <w:lvlJc w:val="left"/>
      <w:pPr>
        <w:ind w:left="974" w:hanging="360"/>
      </w:pPr>
      <w:rPr>
        <w:rFonts w:hint="default"/>
      </w:rPr>
    </w:lvl>
    <w:lvl w:ilvl="2" w:tplc="F6E6569C">
      <w:numFmt w:val="bullet"/>
      <w:lvlText w:val="•"/>
      <w:lvlJc w:val="left"/>
      <w:pPr>
        <w:ind w:left="1428" w:hanging="360"/>
      </w:pPr>
      <w:rPr>
        <w:rFonts w:hint="default"/>
      </w:rPr>
    </w:lvl>
    <w:lvl w:ilvl="3" w:tplc="37D8E0E4">
      <w:numFmt w:val="bullet"/>
      <w:lvlText w:val="•"/>
      <w:lvlJc w:val="left"/>
      <w:pPr>
        <w:ind w:left="1882" w:hanging="360"/>
      </w:pPr>
      <w:rPr>
        <w:rFonts w:hint="default"/>
      </w:rPr>
    </w:lvl>
    <w:lvl w:ilvl="4" w:tplc="2F288A9A">
      <w:numFmt w:val="bullet"/>
      <w:lvlText w:val="•"/>
      <w:lvlJc w:val="left"/>
      <w:pPr>
        <w:ind w:left="2336" w:hanging="360"/>
      </w:pPr>
      <w:rPr>
        <w:rFonts w:hint="default"/>
      </w:rPr>
    </w:lvl>
    <w:lvl w:ilvl="5" w:tplc="A88C9A62">
      <w:numFmt w:val="bullet"/>
      <w:lvlText w:val="•"/>
      <w:lvlJc w:val="left"/>
      <w:pPr>
        <w:ind w:left="2790" w:hanging="360"/>
      </w:pPr>
      <w:rPr>
        <w:rFonts w:hint="default"/>
      </w:rPr>
    </w:lvl>
    <w:lvl w:ilvl="6" w:tplc="32E25CE6">
      <w:numFmt w:val="bullet"/>
      <w:lvlText w:val="•"/>
      <w:lvlJc w:val="left"/>
      <w:pPr>
        <w:ind w:left="3245" w:hanging="360"/>
      </w:pPr>
      <w:rPr>
        <w:rFonts w:hint="default"/>
      </w:rPr>
    </w:lvl>
    <w:lvl w:ilvl="7" w:tplc="3CA2A070">
      <w:numFmt w:val="bullet"/>
      <w:lvlText w:val="•"/>
      <w:lvlJc w:val="left"/>
      <w:pPr>
        <w:ind w:left="3699" w:hanging="360"/>
      </w:pPr>
      <w:rPr>
        <w:rFonts w:hint="default"/>
      </w:rPr>
    </w:lvl>
    <w:lvl w:ilvl="8" w:tplc="5776D79A">
      <w:numFmt w:val="bullet"/>
      <w:lvlText w:val="•"/>
      <w:lvlJc w:val="left"/>
      <w:pPr>
        <w:ind w:left="4153"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13513"/>
    <w:rsid w:val="00226B1C"/>
    <w:rsid w:val="00413513"/>
    <w:rsid w:val="004F5238"/>
    <w:rsid w:val="00541D8D"/>
    <w:rsid w:val="009130B2"/>
    <w:rsid w:val="00A00C1B"/>
    <w:rsid w:val="00A459C0"/>
    <w:rsid w:val="00D109F5"/>
    <w:rsid w:val="00F3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51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13513"/>
    <w:pPr>
      <w:spacing w:before="1"/>
      <w:ind w:left="519"/>
      <w:outlineLvl w:val="0"/>
    </w:pPr>
    <w:rPr>
      <w:sz w:val="32"/>
      <w:szCs w:val="32"/>
    </w:rPr>
  </w:style>
  <w:style w:type="paragraph" w:styleId="Heading3">
    <w:name w:val="heading 3"/>
    <w:basedOn w:val="Normal"/>
    <w:link w:val="Heading3Char"/>
    <w:uiPriority w:val="1"/>
    <w:qFormat/>
    <w:rsid w:val="00413513"/>
    <w:pPr>
      <w:spacing w:before="144"/>
      <w:ind w:left="15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3513"/>
    <w:rPr>
      <w:rFonts w:ascii="Arial" w:eastAsia="Arial" w:hAnsi="Arial" w:cs="Arial"/>
      <w:sz w:val="32"/>
      <w:szCs w:val="32"/>
    </w:rPr>
  </w:style>
  <w:style w:type="character" w:customStyle="1" w:styleId="Heading3Char">
    <w:name w:val="Heading 3 Char"/>
    <w:basedOn w:val="DefaultParagraphFont"/>
    <w:link w:val="Heading3"/>
    <w:uiPriority w:val="1"/>
    <w:rsid w:val="00413513"/>
    <w:rPr>
      <w:rFonts w:ascii="Arial" w:eastAsia="Arial" w:hAnsi="Arial" w:cs="Arial"/>
      <w:b/>
      <w:bCs/>
      <w:sz w:val="18"/>
      <w:szCs w:val="18"/>
    </w:rPr>
  </w:style>
  <w:style w:type="paragraph" w:styleId="BodyText">
    <w:name w:val="Body Text"/>
    <w:basedOn w:val="Normal"/>
    <w:link w:val="BodyTextChar"/>
    <w:uiPriority w:val="1"/>
    <w:qFormat/>
    <w:rsid w:val="00413513"/>
    <w:rPr>
      <w:sz w:val="18"/>
      <w:szCs w:val="18"/>
    </w:rPr>
  </w:style>
  <w:style w:type="character" w:customStyle="1" w:styleId="BodyTextChar">
    <w:name w:val="Body Text Char"/>
    <w:basedOn w:val="DefaultParagraphFont"/>
    <w:link w:val="BodyText"/>
    <w:uiPriority w:val="1"/>
    <w:rsid w:val="00413513"/>
    <w:rPr>
      <w:rFonts w:ascii="Arial" w:eastAsia="Arial" w:hAnsi="Arial" w:cs="Arial"/>
      <w:sz w:val="18"/>
      <w:szCs w:val="18"/>
    </w:rPr>
  </w:style>
  <w:style w:type="paragraph" w:styleId="ListParagraph">
    <w:name w:val="List Paragraph"/>
    <w:basedOn w:val="Normal"/>
    <w:uiPriority w:val="1"/>
    <w:qFormat/>
    <w:rsid w:val="00413513"/>
    <w:pPr>
      <w:spacing w:before="144"/>
      <w:ind w:left="510" w:hanging="360"/>
    </w:pPr>
  </w:style>
  <w:style w:type="paragraph" w:customStyle="1" w:styleId="TableParagraph">
    <w:name w:val="Table Paragraph"/>
    <w:basedOn w:val="Normal"/>
    <w:uiPriority w:val="1"/>
    <w:qFormat/>
    <w:rsid w:val="00413513"/>
    <w:pPr>
      <w:spacing w:before="42"/>
    </w:pPr>
  </w:style>
  <w:style w:type="paragraph" w:customStyle="1" w:styleId="05FormNumber">
    <w:name w:val="05 Form Number"/>
    <w:basedOn w:val="TableParagraph"/>
    <w:qFormat/>
    <w:rsid w:val="00413513"/>
    <w:pPr>
      <w:tabs>
        <w:tab w:val="left" w:pos="4321"/>
      </w:tabs>
      <w:kinsoku w:val="0"/>
      <w:overflowPunct w:val="0"/>
      <w:adjustRightInd w:val="0"/>
      <w:spacing w:before="40" w:after="40"/>
      <w:jc w:val="center"/>
    </w:pPr>
    <w:rPr>
      <w:rFonts w:ascii="Book Antiqua" w:eastAsia="Times New Roman" w:hAnsi="Book Antiqua" w:cs="Verdana"/>
      <w:b/>
      <w:bCs/>
      <w:sz w:val="20"/>
      <w:szCs w:val="20"/>
      <w:lang w:val="en-IN" w:eastAsia="en-IN"/>
    </w:rPr>
  </w:style>
  <w:style w:type="character" w:customStyle="1" w:styleId="06FormNumberforHeader">
    <w:name w:val="06 Form Number for Header"/>
    <w:basedOn w:val="DefaultParagraphFont"/>
    <w:uiPriority w:val="1"/>
    <w:qFormat/>
    <w:rsid w:val="00413513"/>
  </w:style>
  <w:style w:type="character" w:styleId="Hyperlink">
    <w:name w:val="Hyperlink"/>
    <w:basedOn w:val="DefaultParagraphFont"/>
    <w:uiPriority w:val="99"/>
    <w:unhideWhenUsed/>
    <w:rsid w:val="004135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site:%20www.namans.co.i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namita</dc:creator>
  <cp:lastModifiedBy>Rahul</cp:lastModifiedBy>
  <cp:revision>5</cp:revision>
  <dcterms:created xsi:type="dcterms:W3CDTF">2019-09-03T12:26:00Z</dcterms:created>
  <dcterms:modified xsi:type="dcterms:W3CDTF">2019-09-04T07:29:00Z</dcterms:modified>
</cp:coreProperties>
</file>